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ascii="仿宋_GB2312" w:hAnsi="仿宋_GB2312" w:eastAsia="仿宋_GB2312" w:cs="仿宋_GB2312"/>
          <w:sz w:val="32"/>
          <w:szCs w:val="32"/>
        </w:rPr>
      </w:pPr>
    </w:p>
    <w:p>
      <w:pPr>
        <w:rPr>
          <w:rFonts w:ascii="黑体" w:eastAsia="黑体" w:cs="ArialUnicodeMS"/>
          <w:kern w:val="0"/>
          <w:sz w:val="44"/>
          <w:szCs w:val="44"/>
        </w:rPr>
      </w:pPr>
      <w:r>
        <w:rPr>
          <w:rFonts w:hint="eastAsia" w:ascii="黑体" w:eastAsia="黑体" w:cs="ArialUnicodeMS"/>
          <w:kern w:val="0"/>
          <w:sz w:val="44"/>
          <w:szCs w:val="44"/>
        </w:rPr>
        <w:t>附件：</w:t>
      </w:r>
    </w:p>
    <w:p>
      <w:pPr>
        <w:rPr>
          <w:rFonts w:ascii="黑体" w:eastAsia="黑体" w:cs="ArialUnicodeMS"/>
          <w:kern w:val="0"/>
          <w:sz w:val="44"/>
          <w:szCs w:val="44"/>
        </w:rPr>
      </w:pPr>
    </w:p>
    <w:p>
      <w:pPr>
        <w:jc w:val="center"/>
        <w:rPr>
          <w:rFonts w:ascii="方正小标宋简体" w:hAnsi="黑体" w:eastAsia="方正小标宋简体"/>
          <w:bCs/>
          <w:color w:val="000000"/>
          <w:sz w:val="44"/>
          <w:szCs w:val="44"/>
        </w:rPr>
      </w:pPr>
      <w:r>
        <w:rPr>
          <w:rFonts w:hint="eastAsia" w:ascii="方正小标宋简体" w:eastAsia="方正小标宋简体" w:cs="ArialUnicodeMS"/>
          <w:kern w:val="0"/>
          <w:sz w:val="44"/>
          <w:szCs w:val="44"/>
        </w:rPr>
        <w:t>广西壮族自治区</w:t>
      </w:r>
      <w:r>
        <w:rPr>
          <w:rFonts w:hint="eastAsia" w:ascii="方正小标宋简体" w:hAnsi="黑体" w:eastAsia="方正小标宋简体"/>
          <w:bCs/>
          <w:color w:val="000000"/>
          <w:sz w:val="44"/>
          <w:szCs w:val="44"/>
          <w:u w:val="single"/>
        </w:rPr>
        <w:t xml:space="preserve">  南宁师范大学  </w:t>
      </w:r>
    </w:p>
    <w:p>
      <w:pPr>
        <w:jc w:val="center"/>
        <w:rPr>
          <w:rFonts w:ascii="方正小标宋简体" w:eastAsia="方正小标宋简体" w:cs="ArialUnicodeMS"/>
          <w:kern w:val="0"/>
          <w:sz w:val="44"/>
          <w:szCs w:val="44"/>
        </w:rPr>
      </w:pPr>
      <w:r>
        <w:rPr>
          <w:rFonts w:hint="eastAsia" w:ascii="方正小标宋简体" w:eastAsia="方正小标宋简体"/>
          <w:kern w:val="0"/>
          <w:sz w:val="44"/>
          <w:szCs w:val="44"/>
        </w:rPr>
        <w:t>2021</w:t>
      </w:r>
      <w:r>
        <w:rPr>
          <w:rFonts w:hint="eastAsia" w:ascii="方正小标宋简体" w:eastAsia="方正小标宋简体" w:cs="ArialUnicodeMS"/>
          <w:kern w:val="0"/>
          <w:sz w:val="44"/>
          <w:szCs w:val="44"/>
        </w:rPr>
        <w:t>年度部门决算</w:t>
      </w:r>
    </w:p>
    <w:p>
      <w:pPr>
        <w:rPr>
          <w:rFonts w:ascii="方正小标宋简体" w:eastAsia="方正小标宋简体"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hint="eastAsia" w:ascii="ArialUnicodeMS" w:eastAsia="ArialUnicodeMS" w:cs="ArialUnicodeMS"/>
          <w:kern w:val="0"/>
          <w:sz w:val="84"/>
          <w:szCs w:val="84"/>
        </w:rPr>
      </w:pPr>
    </w:p>
    <w:p>
      <w:pPr>
        <w:jc w:val="center"/>
        <w:rPr>
          <w:rFonts w:ascii="黑体" w:eastAsia="黑体" w:cs="黑体"/>
          <w:kern w:val="0"/>
          <w:sz w:val="44"/>
          <w:szCs w:val="44"/>
        </w:rPr>
      </w:pPr>
    </w:p>
    <w:p>
      <w:pPr>
        <w:jc w:val="center"/>
        <w:rPr>
          <w:rFonts w:ascii="黑体" w:eastAsia="黑体" w:cs="黑体"/>
          <w:kern w:val="0"/>
          <w:sz w:val="44"/>
          <w:szCs w:val="44"/>
        </w:rPr>
      </w:pPr>
    </w:p>
    <w:p>
      <w:pPr>
        <w:jc w:val="center"/>
        <w:rPr>
          <w:rFonts w:ascii="黑体" w:eastAsia="黑体" w:cs="黑体"/>
          <w:kern w:val="0"/>
          <w:sz w:val="44"/>
          <w:szCs w:val="44"/>
        </w:rPr>
      </w:pPr>
    </w:p>
    <w:p>
      <w:pPr>
        <w:jc w:val="center"/>
        <w:rPr>
          <w:rFonts w:hint="eastAsia" w:ascii="黑体" w:eastAsia="黑体" w:cs="黑体"/>
          <w:kern w:val="0"/>
          <w:sz w:val="44"/>
          <w:szCs w:val="44"/>
        </w:rPr>
      </w:pPr>
    </w:p>
    <w:p>
      <w:pPr>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right="23" w:rightChars="11" w:firstLine="645"/>
        <w:rPr>
          <w:rFonts w:ascii="黑体" w:hAnsi="黑体" w:eastAsia="黑体"/>
          <w:sz w:val="32"/>
          <w:szCs w:val="32"/>
        </w:rPr>
      </w:pPr>
      <w:r>
        <w:rPr>
          <w:rFonts w:hint="eastAsia" w:ascii="黑体" w:hAnsi="黑体" w:eastAsia="黑体"/>
          <w:sz w:val="32"/>
          <w:szCs w:val="32"/>
        </w:rPr>
        <w:t>第一部分：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二、部门决算单位构成</w:t>
      </w:r>
    </w:p>
    <w:p>
      <w:pPr>
        <w:ind w:firstLine="645"/>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2021年度部门决算报表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表六：一般公共预算财政拨款基本支出决算明细表</w:t>
      </w:r>
    </w:p>
    <w:p>
      <w:pPr>
        <w:ind w:firstLine="640" w:firstLineChars="200"/>
        <w:rPr>
          <w:rFonts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left="645"/>
        <w:rPr>
          <w:rFonts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支出决算表</w:t>
      </w:r>
    </w:p>
    <w:p>
      <w:pPr>
        <w:ind w:firstLine="645"/>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2021年度部门决算情况说明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2021</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三、2021年度一般公共预算财政拨款基本支出决算情况说明。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2021</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五、2021年度国有资本经营预算支出决算情况。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autoSpaceDE w:val="0"/>
        <w:autoSpaceDN w:val="0"/>
        <w:adjustRightInd w:val="0"/>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第四部分：名词解释</w:t>
      </w:r>
    </w:p>
    <w:p>
      <w:pPr>
        <w:jc w:val="center"/>
        <w:rPr>
          <w:rFonts w:ascii="仿宋_GB2312" w:eastAsia="仿宋_GB231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ascii="仿宋_GB2312" w:eastAsia="仿宋_GB2312"/>
          <w:b/>
          <w:sz w:val="32"/>
          <w:szCs w:val="32"/>
        </w:rPr>
      </w:pPr>
    </w:p>
    <w:p>
      <w:pPr>
        <w:rPr>
          <w:rFonts w:hint="eastAsia" w:ascii="仿宋_GB2312" w:eastAsia="仿宋_GB2312"/>
          <w:b/>
          <w:sz w:val="32"/>
          <w:szCs w:val="32"/>
        </w:rPr>
      </w:pPr>
    </w:p>
    <w:p>
      <w:pPr>
        <w:rPr>
          <w:rFonts w:ascii="仿宋_GB2312" w:eastAsia="仿宋_GB2312"/>
          <w:b/>
          <w:sz w:val="32"/>
          <w:szCs w:val="32"/>
        </w:rPr>
      </w:pPr>
    </w:p>
    <w:p>
      <w:pPr>
        <w:ind w:firstLine="646"/>
        <w:jc w:val="center"/>
        <w:rPr>
          <w:rFonts w:ascii="黑体" w:hAnsi="黑体" w:eastAsia="黑体"/>
          <w:sz w:val="32"/>
          <w:szCs w:val="32"/>
        </w:rPr>
      </w:pPr>
      <w:r>
        <w:rPr>
          <w:rFonts w:hint="eastAsia" w:ascii="黑体" w:hAnsi="黑体" w:eastAsia="黑体"/>
          <w:sz w:val="32"/>
          <w:szCs w:val="32"/>
        </w:rPr>
        <w:t>第一部分：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概况</w:t>
      </w:r>
    </w:p>
    <w:p>
      <w:pPr>
        <w:ind w:firstLine="646"/>
        <w:rPr>
          <w:rFonts w:ascii="黑体" w:hAnsi="黑体" w:eastAsia="黑体"/>
          <w:sz w:val="32"/>
          <w:szCs w:val="32"/>
        </w:rPr>
      </w:pPr>
      <w:r>
        <w:rPr>
          <w:rFonts w:hint="eastAsia" w:ascii="黑体" w:hAnsi="黑体" w:eastAsia="黑体"/>
          <w:sz w:val="32"/>
          <w:szCs w:val="32"/>
        </w:rPr>
        <w:t>一、主要职能</w:t>
      </w:r>
    </w:p>
    <w:p>
      <w:pPr>
        <w:ind w:firstLine="646"/>
        <w:rPr>
          <w:rFonts w:ascii="仿宋_GB2312" w:eastAsia="仿宋_GB2312"/>
          <w:sz w:val="32"/>
          <w:szCs w:val="32"/>
        </w:rPr>
      </w:pPr>
      <w:r>
        <w:rPr>
          <w:rFonts w:hint="eastAsia" w:ascii="仿宋_GB2312" w:eastAsia="仿宋_GB2312"/>
          <w:sz w:val="32"/>
          <w:szCs w:val="32"/>
        </w:rPr>
        <w:t>南宁师范大学是</w:t>
      </w:r>
      <w:r>
        <w:rPr>
          <w:rFonts w:ascii="仿宋_GB2312" w:eastAsia="仿宋_GB2312"/>
          <w:sz w:val="32"/>
          <w:szCs w:val="32"/>
        </w:rPr>
        <w:t>广西壮族自治区属全日制普通本科师范院校</w:t>
      </w:r>
      <w:r>
        <w:rPr>
          <w:rFonts w:hint="eastAsia" w:ascii="仿宋_GB2312" w:eastAsia="仿宋_GB2312"/>
          <w:sz w:val="32"/>
          <w:szCs w:val="32"/>
        </w:rPr>
        <w:t>，主要职能是进行教学、科研、培训，为社会输送高素质的人才，</w:t>
      </w:r>
      <w:r>
        <w:rPr>
          <w:rFonts w:ascii="仿宋_GB2312" w:eastAsia="仿宋_GB2312"/>
          <w:sz w:val="32"/>
          <w:szCs w:val="32"/>
        </w:rPr>
        <w:t>发挥学科、科研和人才资源优势，为地方</w:t>
      </w:r>
      <w:r>
        <w:rPr>
          <w:rFonts w:hint="eastAsia" w:ascii="仿宋_GB2312" w:eastAsia="仿宋_GB2312"/>
          <w:sz w:val="32"/>
          <w:szCs w:val="32"/>
        </w:rPr>
        <w:t>经济</w:t>
      </w:r>
      <w:r>
        <w:rPr>
          <w:rFonts w:ascii="仿宋_GB2312" w:eastAsia="仿宋_GB2312"/>
          <w:sz w:val="32"/>
          <w:szCs w:val="32"/>
        </w:rPr>
        <w:t>发展提供</w:t>
      </w:r>
      <w:r>
        <w:rPr>
          <w:rFonts w:hint="eastAsia" w:ascii="仿宋_GB2312" w:eastAsia="仿宋_GB2312"/>
          <w:sz w:val="32"/>
          <w:szCs w:val="32"/>
        </w:rPr>
        <w:t>师资力量</w:t>
      </w:r>
      <w:r>
        <w:rPr>
          <w:rFonts w:ascii="仿宋_GB2312" w:eastAsia="仿宋_GB2312"/>
          <w:sz w:val="32"/>
          <w:szCs w:val="32"/>
        </w:rPr>
        <w:t>、科技服务和智力支撑</w:t>
      </w:r>
      <w:r>
        <w:rPr>
          <w:rFonts w:hint="eastAsia" w:ascii="仿宋_GB2312" w:eastAsia="仿宋_GB2312"/>
          <w:sz w:val="32"/>
          <w:szCs w:val="32"/>
        </w:rPr>
        <w:t>。</w:t>
      </w:r>
    </w:p>
    <w:p>
      <w:pPr>
        <w:ind w:firstLine="646"/>
        <w:rPr>
          <w:rFonts w:ascii="仿宋_GB2312" w:eastAsia="仿宋_GB2312"/>
          <w:sz w:val="32"/>
          <w:szCs w:val="32"/>
        </w:rPr>
      </w:pPr>
      <w:r>
        <w:rPr>
          <w:rFonts w:hint="eastAsia" w:ascii="仿宋_GB2312" w:eastAsia="仿宋_GB2312"/>
          <w:sz w:val="32"/>
          <w:szCs w:val="32"/>
        </w:rPr>
        <w:t>南宁师范大学附属实验学校是教育厅直属的财政全额拨款的义务教育学校，主要职能是进行教学、培训，是广西“双师教学”模式项目英语和音乐科录课任务，承担校长跟岗培训、英语、音乐学科等国培、区培项目任务，在师范生培养、教师在岗培训提升方面发挥了示范引领作用。</w:t>
      </w:r>
    </w:p>
    <w:p>
      <w:pPr>
        <w:ind w:firstLine="646"/>
        <w:rPr>
          <w:rFonts w:ascii="黑体" w:hAnsi="黑体" w:eastAsia="黑体"/>
          <w:sz w:val="32"/>
          <w:szCs w:val="32"/>
        </w:rPr>
      </w:pPr>
      <w:r>
        <w:rPr>
          <w:rFonts w:hint="eastAsia" w:ascii="黑体" w:hAnsi="黑体" w:eastAsia="黑体"/>
          <w:sz w:val="32"/>
          <w:szCs w:val="32"/>
        </w:rPr>
        <w:t>二、部门决算单位构成</w:t>
      </w:r>
    </w:p>
    <w:p>
      <w:pPr>
        <w:ind w:firstLine="645"/>
        <w:rPr>
          <w:rFonts w:ascii="仿宋_GB2312" w:eastAsia="仿宋_GB2312"/>
          <w:sz w:val="32"/>
          <w:szCs w:val="32"/>
        </w:rPr>
      </w:pPr>
      <w:r>
        <w:rPr>
          <w:rFonts w:hint="eastAsia" w:ascii="仿宋_GB2312" w:eastAsia="仿宋_GB2312"/>
          <w:sz w:val="32"/>
          <w:szCs w:val="32"/>
        </w:rPr>
        <w:t>南宁师范大学本级</w:t>
      </w:r>
    </w:p>
    <w:p>
      <w:pPr>
        <w:ind w:firstLine="645"/>
        <w:rPr>
          <w:rFonts w:ascii="仿宋_GB2312" w:eastAsia="仿宋_GB2312"/>
          <w:sz w:val="32"/>
          <w:szCs w:val="32"/>
        </w:rPr>
      </w:pPr>
      <w:r>
        <w:rPr>
          <w:rFonts w:hint="eastAsia" w:ascii="仿宋_GB2312" w:eastAsia="仿宋_GB2312"/>
          <w:sz w:val="32"/>
          <w:szCs w:val="32"/>
        </w:rPr>
        <w:t>南宁师范大学附属实验学校</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hint="eastAsia"/>
        </w:rPr>
      </w:pPr>
    </w:p>
    <w:p>
      <w:pPr>
        <w:jc w:val="center"/>
      </w:pPr>
    </w:p>
    <w:p>
      <w:pPr>
        <w:jc w:val="center"/>
      </w:pPr>
    </w:p>
    <w:p>
      <w:pPr>
        <w:jc w:val="center"/>
      </w:pPr>
    </w:p>
    <w:p>
      <w:pPr>
        <w:jc w:val="center"/>
      </w:pPr>
    </w:p>
    <w:p>
      <w:pPr>
        <w:jc w:val="center"/>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 xml:space="preserve"> 2021年度部门决算报表</w:t>
      </w:r>
    </w:p>
    <w:p>
      <w:pPr>
        <w:ind w:firstLine="640" w:firstLineChars="200"/>
        <w:rPr>
          <w:rFonts w:ascii="黑体" w:hAnsi="黑体" w:eastAsia="黑体"/>
          <w:sz w:val="32"/>
          <w:szCs w:val="32"/>
        </w:rPr>
      </w:pPr>
    </w:p>
    <w:p>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表一：收入支出决算总表</w:t>
      </w:r>
    </w:p>
    <w:p>
      <w:pPr>
        <w:ind w:firstLine="440" w:firstLineChars="200"/>
        <w:jc w:val="right"/>
        <w:rPr>
          <w:rFonts w:ascii="宋体" w:hAnsi="宋体" w:cs="宋体"/>
          <w:kern w:val="0"/>
          <w:sz w:val="22"/>
          <w:szCs w:val="22"/>
        </w:rPr>
      </w:pPr>
      <w:r>
        <w:rPr>
          <w:rFonts w:hint="eastAsia" w:ascii="宋体" w:hAnsi="宋体" w:cs="宋体"/>
          <w:kern w:val="0"/>
          <w:sz w:val="22"/>
          <w:szCs w:val="22"/>
        </w:rPr>
        <w:t>单位：</w:t>
      </w:r>
      <w:r>
        <w:rPr>
          <w:rFonts w:ascii="宋体" w:hAnsi="宋体" w:cs="宋体"/>
          <w:kern w:val="0"/>
          <w:sz w:val="22"/>
          <w:szCs w:val="22"/>
        </w:rPr>
        <w:t>万元</w:t>
      </w:r>
    </w:p>
    <w:tbl>
      <w:tblPr>
        <w:tblStyle w:val="7"/>
        <w:tblpPr w:leftFromText="180" w:rightFromText="180" w:vertAnchor="text" w:tblpXSpec="center" w:tblpY="1"/>
        <w:tblOverlap w:val="never"/>
        <w:tblW w:w="9918" w:type="dxa"/>
        <w:jc w:val="center"/>
        <w:tblLayout w:type="autofit"/>
        <w:tblCellMar>
          <w:top w:w="0" w:type="dxa"/>
          <w:left w:w="108" w:type="dxa"/>
          <w:bottom w:w="0" w:type="dxa"/>
          <w:right w:w="108" w:type="dxa"/>
        </w:tblCellMar>
      </w:tblPr>
      <w:tblGrid>
        <w:gridCol w:w="3823"/>
        <w:gridCol w:w="1417"/>
        <w:gridCol w:w="3260"/>
        <w:gridCol w:w="1418"/>
      </w:tblGrid>
      <w:tr>
        <w:tblPrEx>
          <w:tblCellMar>
            <w:top w:w="0" w:type="dxa"/>
            <w:left w:w="108" w:type="dxa"/>
            <w:bottom w:w="0" w:type="dxa"/>
            <w:right w:w="108" w:type="dxa"/>
          </w:tblCellMar>
        </w:tblPrEx>
        <w:trPr>
          <w:trHeight w:val="236" w:hRule="atLeast"/>
          <w:jc w:val="center"/>
        </w:trPr>
        <w:tc>
          <w:tcPr>
            <w:tcW w:w="5240"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收入</w:t>
            </w:r>
          </w:p>
        </w:tc>
        <w:tc>
          <w:tcPr>
            <w:tcW w:w="4678" w:type="dxa"/>
            <w:gridSpan w:val="2"/>
            <w:tcBorders>
              <w:top w:val="single" w:color="000000" w:sz="4" w:space="0"/>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支出</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项目</w:t>
            </w:r>
          </w:p>
        </w:tc>
        <w:tc>
          <w:tcPr>
            <w:tcW w:w="1417"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金额</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项目</w:t>
            </w:r>
          </w:p>
        </w:tc>
        <w:tc>
          <w:tcPr>
            <w:tcW w:w="1418"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金额</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栏次</w:t>
            </w:r>
          </w:p>
        </w:tc>
        <w:tc>
          <w:tcPr>
            <w:tcW w:w="1417"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栏次</w:t>
            </w:r>
          </w:p>
        </w:tc>
        <w:tc>
          <w:tcPr>
            <w:tcW w:w="1418"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一、一般公共预算财政拨款收入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ascii="宋体" w:hAnsi="宋体" w:cs="Arial"/>
                <w:color w:val="000000"/>
                <w:kern w:val="0"/>
                <w:sz w:val="22"/>
                <w:szCs w:val="22"/>
              </w:rPr>
              <w:t>67,990.30</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一、一般公共服务支出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w:t>
            </w:r>
            <w:r>
              <w:rPr>
                <w:rFonts w:ascii="宋体" w:hAnsi="宋体" w:cs="Arial"/>
                <w:color w:val="000000"/>
                <w:kern w:val="0"/>
                <w:sz w:val="22"/>
                <w:szCs w:val="22"/>
              </w:rPr>
              <w:t>.00</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二、政府性基金预算财政拨款收入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ascii="宋体" w:hAnsi="宋体" w:cs="Arial"/>
                <w:color w:val="000000"/>
                <w:kern w:val="0"/>
                <w:sz w:val="22"/>
                <w:szCs w:val="22"/>
              </w:rPr>
              <w:t>36,484.49</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二、外交支出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三、国有资本经营预算财政拨款收入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三、国防支出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四、上级补助收入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四、公共安全支出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五、事业收入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ascii="宋体" w:hAnsi="宋体" w:cs="Arial"/>
                <w:color w:val="000000"/>
                <w:kern w:val="0"/>
                <w:sz w:val="22"/>
                <w:szCs w:val="22"/>
              </w:rPr>
              <w:t>40,243.16</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五、教育支出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1</w:t>
            </w:r>
            <w:r>
              <w:rPr>
                <w:rFonts w:ascii="宋体" w:hAnsi="宋体" w:cs="Arial"/>
                <w:color w:val="000000"/>
                <w:kern w:val="0"/>
                <w:sz w:val="22"/>
                <w:szCs w:val="22"/>
              </w:rPr>
              <w:t>15,033.07</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六、经营收入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6</w:t>
            </w:r>
            <w:r>
              <w:rPr>
                <w:rFonts w:ascii="宋体" w:hAnsi="宋体" w:cs="Arial"/>
                <w:color w:val="000000"/>
                <w:kern w:val="0"/>
                <w:sz w:val="22"/>
                <w:szCs w:val="22"/>
              </w:rPr>
              <w:t>,868.19</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六、科学技术支出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4</w:t>
            </w:r>
            <w:r>
              <w:rPr>
                <w:rFonts w:ascii="宋体" w:hAnsi="宋体" w:cs="Arial"/>
                <w:color w:val="000000"/>
                <w:kern w:val="0"/>
                <w:sz w:val="22"/>
                <w:szCs w:val="22"/>
              </w:rPr>
              <w:t>25.23</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七、附属单位上缴收入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0.00</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七、文化旅游体育与传媒支出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0</w:t>
            </w:r>
            <w:r>
              <w:rPr>
                <w:rFonts w:ascii="宋体" w:hAnsi="宋体" w:cs="Arial"/>
                <w:color w:val="000000"/>
                <w:kern w:val="0"/>
                <w:sz w:val="22"/>
                <w:szCs w:val="22"/>
              </w:rPr>
              <w:t>.00</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八、其他收入</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3</w:t>
            </w:r>
            <w:r>
              <w:rPr>
                <w:rFonts w:ascii="宋体" w:hAnsi="宋体" w:cs="Arial"/>
                <w:color w:val="000000"/>
                <w:kern w:val="0"/>
                <w:sz w:val="22"/>
                <w:szCs w:val="22"/>
              </w:rPr>
              <w:t>,361.61</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八、社会保障和就业支出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1,</w:t>
            </w:r>
            <w:r>
              <w:rPr>
                <w:rFonts w:ascii="宋体" w:hAnsi="宋体" w:cs="Arial"/>
                <w:color w:val="000000"/>
                <w:kern w:val="0"/>
                <w:sz w:val="22"/>
                <w:szCs w:val="22"/>
              </w:rPr>
              <w:t>769.45</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九、卫生健康支出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4</w:t>
            </w:r>
            <w:r>
              <w:rPr>
                <w:rFonts w:ascii="宋体" w:hAnsi="宋体" w:cs="Arial"/>
                <w:color w:val="000000"/>
                <w:kern w:val="0"/>
                <w:sz w:val="22"/>
                <w:szCs w:val="22"/>
              </w:rPr>
              <w:t>80.98</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十九、住房保障支出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7</w:t>
            </w:r>
            <w:r>
              <w:rPr>
                <w:rFonts w:ascii="宋体" w:hAnsi="宋体" w:cs="Arial"/>
                <w:color w:val="000000"/>
                <w:kern w:val="0"/>
                <w:sz w:val="22"/>
                <w:szCs w:val="22"/>
              </w:rPr>
              <w:t>67.66</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二十三、其他支出</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3</w:t>
            </w:r>
            <w:r>
              <w:rPr>
                <w:rFonts w:ascii="宋体" w:hAnsi="宋体" w:cs="Arial"/>
                <w:color w:val="000000"/>
                <w:kern w:val="0"/>
                <w:sz w:val="22"/>
                <w:szCs w:val="22"/>
              </w:rPr>
              <w:t>6,484.49</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本年收入合计</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ascii="宋体" w:hAnsi="宋体" w:cs="Arial"/>
                <w:color w:val="000000"/>
                <w:kern w:val="0"/>
                <w:sz w:val="22"/>
                <w:szCs w:val="22"/>
              </w:rPr>
              <w:t>154,947.75</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本年支出合计</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1</w:t>
            </w:r>
            <w:r>
              <w:rPr>
                <w:rFonts w:ascii="宋体" w:hAnsi="宋体" w:cs="Arial"/>
                <w:color w:val="000000"/>
                <w:kern w:val="0"/>
                <w:sz w:val="22"/>
                <w:szCs w:val="22"/>
              </w:rPr>
              <w:t>54,960.87</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使用非财政拨款结余</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ascii="宋体" w:hAnsi="宋体" w:cs="Arial"/>
                <w:color w:val="000000"/>
                <w:kern w:val="0"/>
                <w:sz w:val="22"/>
                <w:szCs w:val="22"/>
              </w:rPr>
              <w:t>295.61</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结余分配</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7</w:t>
            </w:r>
            <w:r>
              <w:rPr>
                <w:rFonts w:ascii="宋体" w:hAnsi="宋体" w:cs="Arial"/>
                <w:color w:val="000000"/>
                <w:kern w:val="0"/>
                <w:sz w:val="22"/>
                <w:szCs w:val="22"/>
              </w:rPr>
              <w:t>22.75</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年初结转和结余</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9</w:t>
            </w:r>
            <w:r>
              <w:rPr>
                <w:rFonts w:ascii="宋体" w:hAnsi="宋体" w:cs="Arial"/>
                <w:color w:val="000000"/>
                <w:kern w:val="0"/>
                <w:sz w:val="22"/>
                <w:szCs w:val="22"/>
              </w:rPr>
              <w:t>,728.54</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年末结转和结余</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9,</w:t>
            </w:r>
            <w:r>
              <w:rPr>
                <w:rFonts w:ascii="宋体" w:hAnsi="宋体" w:cs="Arial"/>
                <w:color w:val="000000"/>
                <w:kern w:val="0"/>
                <w:sz w:val="22"/>
                <w:szCs w:val="22"/>
              </w:rPr>
              <w:t>288.29</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22"/>
                <w:szCs w:val="22"/>
              </w:rPr>
            </w:pPr>
            <w:r>
              <w:rPr>
                <w:rFonts w:hint="eastAsia" w:ascii="宋体" w:hAnsi="宋体" w:cs="Arial"/>
                <w:color w:val="000000"/>
                <w:kern w:val="0"/>
                <w:sz w:val="22"/>
                <w:szCs w:val="22"/>
              </w:rPr>
              <w:t>　</w:t>
            </w:r>
          </w:p>
        </w:tc>
      </w:tr>
      <w:tr>
        <w:tblPrEx>
          <w:tblCellMar>
            <w:top w:w="0" w:type="dxa"/>
            <w:left w:w="108" w:type="dxa"/>
            <w:bottom w:w="0" w:type="dxa"/>
            <w:right w:w="108" w:type="dxa"/>
          </w:tblCellMar>
        </w:tblPrEx>
        <w:trPr>
          <w:trHeight w:val="236" w:hRule="atLeast"/>
          <w:jc w:val="center"/>
        </w:trPr>
        <w:tc>
          <w:tcPr>
            <w:tcW w:w="3823" w:type="dxa"/>
            <w:tcBorders>
              <w:top w:val="nil"/>
              <w:left w:val="single" w:color="000000" w:sz="4" w:space="0"/>
              <w:bottom w:val="single" w:color="000000" w:sz="4" w:space="0"/>
              <w:right w:val="single" w:color="000000" w:sz="4" w:space="0"/>
            </w:tcBorders>
            <w:shd w:val="clear" w:color="FFFFFF" w:fill="C0C0C0"/>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总计</w:t>
            </w:r>
          </w:p>
        </w:tc>
        <w:tc>
          <w:tcPr>
            <w:tcW w:w="141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1</w:t>
            </w:r>
            <w:r>
              <w:rPr>
                <w:rFonts w:ascii="宋体" w:hAnsi="宋体" w:cs="Arial"/>
                <w:color w:val="000000"/>
                <w:kern w:val="0"/>
                <w:sz w:val="22"/>
                <w:szCs w:val="22"/>
              </w:rPr>
              <w:t>64,971.90</w:t>
            </w:r>
          </w:p>
        </w:tc>
        <w:tc>
          <w:tcPr>
            <w:tcW w:w="3260" w:type="dxa"/>
            <w:tcBorders>
              <w:top w:val="nil"/>
              <w:left w:val="nil"/>
              <w:bottom w:val="single" w:color="000000" w:sz="4" w:space="0"/>
              <w:right w:val="single" w:color="000000" w:sz="4" w:space="0"/>
            </w:tcBorders>
            <w:shd w:val="clear" w:color="FFFFFF" w:fill="C0C0C0"/>
            <w:noWrap/>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总计</w:t>
            </w:r>
          </w:p>
        </w:tc>
        <w:tc>
          <w:tcPr>
            <w:tcW w:w="1418"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1</w:t>
            </w:r>
            <w:r>
              <w:rPr>
                <w:rFonts w:ascii="宋体" w:hAnsi="宋体" w:cs="Arial"/>
                <w:color w:val="000000"/>
                <w:kern w:val="0"/>
                <w:sz w:val="22"/>
                <w:szCs w:val="22"/>
              </w:rPr>
              <w:t>64,971.90</w:t>
            </w:r>
          </w:p>
        </w:tc>
      </w:tr>
    </w:tbl>
    <w:p>
      <w:pPr>
        <w:widowControl/>
        <w:ind w:left="-1" w:leftChars="-405" w:right="-901" w:rightChars="-429" w:hanging="849" w:hangingChars="386"/>
        <w:jc w:val="right"/>
        <w:rPr>
          <w:rFonts w:ascii="宋体" w:hAnsi="宋体" w:cs="Arial"/>
          <w:color w:val="000000"/>
          <w:kern w:val="0"/>
          <w:sz w:val="22"/>
          <w:szCs w:val="22"/>
        </w:rPr>
      </w:pPr>
      <w:r>
        <w:rPr>
          <w:rFonts w:ascii="宋体" w:hAnsi="宋体" w:cs="Arial"/>
          <w:color w:val="000000"/>
          <w:kern w:val="0"/>
          <w:sz w:val="22"/>
          <w:szCs w:val="22"/>
        </w:rPr>
        <w:t xml:space="preserve"> </w:t>
      </w:r>
      <w:r>
        <w:rPr>
          <w:rFonts w:hint="eastAsia" w:ascii="宋体" w:hAnsi="宋体" w:cs="Arial"/>
          <w:color w:val="000000"/>
          <w:kern w:val="0"/>
          <w:sz w:val="22"/>
          <w:szCs w:val="22"/>
        </w:rPr>
        <w:t>注：本表反映部门本年度的总收支和年末结转结余情况。本套报表金额单位转换时可能存在尾数误差。</w:t>
      </w:r>
    </w:p>
    <w:p>
      <w:pPr>
        <w:ind w:firstLine="640"/>
        <w:rPr>
          <w:rFonts w:ascii="黑体" w:hAnsi="黑体" w:eastAsia="黑体"/>
          <w:sz w:val="32"/>
          <w:szCs w:val="32"/>
        </w:rPr>
      </w:pPr>
    </w:p>
    <w:p>
      <w:pPr>
        <w:ind w:firstLine="640"/>
        <w:rPr>
          <w:rFonts w:ascii="黑体" w:hAnsi="黑体" w:eastAsia="黑体"/>
          <w:sz w:val="32"/>
          <w:szCs w:val="32"/>
        </w:rPr>
      </w:pPr>
    </w:p>
    <w:p>
      <w:pPr>
        <w:ind w:firstLine="640"/>
        <w:rPr>
          <w:rFonts w:ascii="黑体" w:hAnsi="黑体" w:eastAsia="黑体"/>
          <w:sz w:val="32"/>
          <w:szCs w:val="32"/>
        </w:rPr>
        <w:sectPr>
          <w:footerReference r:id="rId3" w:type="default"/>
          <w:footerReference r:id="rId4" w:type="even"/>
          <w:pgSz w:w="11906" w:h="16838"/>
          <w:pgMar w:top="1701" w:right="1474" w:bottom="1247" w:left="1587" w:header="851" w:footer="992" w:gutter="0"/>
          <w:cols w:space="720" w:num="1"/>
          <w:docGrid w:type="lines" w:linePitch="312" w:charSpace="0"/>
        </w:sectPr>
      </w:pPr>
    </w:p>
    <w:p>
      <w:pPr>
        <w:ind w:firstLine="640"/>
        <w:rPr>
          <w:rFonts w:ascii="黑体" w:hAnsi="黑体" w:eastAsia="黑体"/>
          <w:sz w:val="32"/>
          <w:szCs w:val="32"/>
        </w:rPr>
      </w:pPr>
    </w:p>
    <w:p>
      <w:pPr>
        <w:jc w:val="center"/>
      </w:pPr>
      <w:r>
        <w:rPr>
          <w:rFonts w:hint="eastAsia" w:ascii="方正小标宋简体" w:hAnsi="宋体" w:eastAsia="方正小标宋简体" w:cs="宋体"/>
          <w:kern w:val="0"/>
          <w:sz w:val="36"/>
          <w:szCs w:val="36"/>
        </w:rPr>
        <w:t>表二：收入决算表</w:t>
      </w:r>
    </w:p>
    <w:p>
      <w:pPr>
        <w:spacing w:line="560" w:lineRule="exact"/>
        <w:jc w:val="right"/>
        <w:rPr>
          <w:rFonts w:ascii="黑体" w:hAnsi="黑体" w:eastAsia="黑体"/>
          <w:sz w:val="32"/>
          <w:szCs w:val="32"/>
        </w:rPr>
      </w:pPr>
      <w:r>
        <w:rPr>
          <w:rFonts w:hint="eastAsia"/>
          <w:sz w:val="22"/>
          <w:szCs w:val="22"/>
        </w:rPr>
        <w:t>单位：万元</w:t>
      </w:r>
    </w:p>
    <w:tbl>
      <w:tblPr>
        <w:tblStyle w:val="8"/>
        <w:tblW w:w="13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425"/>
        <w:gridCol w:w="426"/>
        <w:gridCol w:w="2688"/>
        <w:gridCol w:w="1560"/>
        <w:gridCol w:w="1559"/>
        <w:gridCol w:w="1134"/>
        <w:gridCol w:w="1417"/>
        <w:gridCol w:w="1276"/>
        <w:gridCol w:w="12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76" w:type="dxa"/>
            <w:gridSpan w:val="3"/>
            <w:vMerge w:val="restart"/>
            <w:noWrap/>
            <w:vAlign w:val="center"/>
          </w:tcPr>
          <w:p>
            <w:pPr>
              <w:rPr>
                <w:rFonts w:ascii="宋体" w:hAnsi="宋体" w:cs="Arial"/>
                <w:color w:val="000000"/>
                <w:kern w:val="0"/>
                <w:sz w:val="22"/>
                <w:szCs w:val="22"/>
              </w:rPr>
            </w:pPr>
            <w:r>
              <w:rPr>
                <w:rFonts w:hint="eastAsia" w:ascii="宋体" w:hAnsi="宋体" w:cs="Arial"/>
                <w:color w:val="000000"/>
                <w:kern w:val="0"/>
                <w:sz w:val="22"/>
                <w:szCs w:val="22"/>
              </w:rPr>
              <w:t>科目编码</w:t>
            </w:r>
          </w:p>
        </w:tc>
        <w:tc>
          <w:tcPr>
            <w:tcW w:w="2688" w:type="dxa"/>
            <w:vMerge w:val="restart"/>
            <w:noWrap/>
            <w:vAlign w:val="center"/>
          </w:tcPr>
          <w:p>
            <w:pPr>
              <w:rPr>
                <w:rFonts w:ascii="宋体" w:hAnsi="宋体" w:cs="Arial"/>
                <w:color w:val="000000"/>
                <w:kern w:val="0"/>
                <w:sz w:val="22"/>
                <w:szCs w:val="22"/>
              </w:rPr>
            </w:pPr>
            <w:r>
              <w:rPr>
                <w:rFonts w:hint="eastAsia" w:ascii="宋体" w:hAnsi="宋体" w:cs="Arial"/>
                <w:color w:val="000000"/>
                <w:kern w:val="0"/>
                <w:sz w:val="22"/>
                <w:szCs w:val="22"/>
              </w:rPr>
              <w:t>科目名称</w:t>
            </w:r>
          </w:p>
        </w:tc>
        <w:tc>
          <w:tcPr>
            <w:tcW w:w="1560" w:type="dxa"/>
            <w:vMerge w:val="restart"/>
            <w:vAlign w:val="center"/>
          </w:tcPr>
          <w:p>
            <w:pPr>
              <w:rPr>
                <w:rFonts w:ascii="宋体" w:hAnsi="宋体" w:cs="Arial"/>
                <w:color w:val="000000"/>
                <w:kern w:val="0"/>
                <w:sz w:val="22"/>
                <w:szCs w:val="22"/>
              </w:rPr>
            </w:pPr>
            <w:r>
              <w:rPr>
                <w:rFonts w:hint="eastAsia" w:ascii="宋体" w:hAnsi="宋体" w:cs="Arial"/>
                <w:color w:val="000000"/>
                <w:kern w:val="0"/>
                <w:sz w:val="22"/>
                <w:szCs w:val="22"/>
              </w:rPr>
              <w:t>本年收入合计</w:t>
            </w:r>
          </w:p>
        </w:tc>
        <w:tc>
          <w:tcPr>
            <w:tcW w:w="1559" w:type="dxa"/>
            <w:vMerge w:val="restart"/>
            <w:vAlign w:val="center"/>
          </w:tcPr>
          <w:p>
            <w:pPr>
              <w:rPr>
                <w:rFonts w:ascii="宋体" w:hAnsi="宋体" w:cs="Arial"/>
                <w:color w:val="000000"/>
                <w:kern w:val="0"/>
                <w:sz w:val="22"/>
                <w:szCs w:val="22"/>
              </w:rPr>
            </w:pPr>
            <w:r>
              <w:rPr>
                <w:rFonts w:hint="eastAsia" w:ascii="宋体" w:hAnsi="宋体" w:cs="Arial"/>
                <w:color w:val="000000"/>
                <w:kern w:val="0"/>
                <w:sz w:val="22"/>
                <w:szCs w:val="22"/>
              </w:rPr>
              <w:t>财政拨款收入</w:t>
            </w:r>
          </w:p>
        </w:tc>
        <w:tc>
          <w:tcPr>
            <w:tcW w:w="1134" w:type="dxa"/>
            <w:vMerge w:val="restart"/>
            <w:vAlign w:val="center"/>
          </w:tcPr>
          <w:p>
            <w:pPr>
              <w:rPr>
                <w:rFonts w:ascii="宋体" w:hAnsi="宋体" w:cs="Arial"/>
                <w:color w:val="000000"/>
                <w:kern w:val="0"/>
                <w:sz w:val="22"/>
                <w:szCs w:val="22"/>
              </w:rPr>
            </w:pPr>
            <w:r>
              <w:rPr>
                <w:rFonts w:hint="eastAsia" w:ascii="宋体" w:hAnsi="宋体" w:cs="Arial"/>
                <w:color w:val="000000"/>
                <w:kern w:val="0"/>
                <w:sz w:val="22"/>
                <w:szCs w:val="22"/>
              </w:rPr>
              <w:t>上级补助收入</w:t>
            </w:r>
          </w:p>
        </w:tc>
        <w:tc>
          <w:tcPr>
            <w:tcW w:w="1417" w:type="dxa"/>
            <w:vMerge w:val="restart"/>
            <w:vAlign w:val="center"/>
          </w:tcPr>
          <w:p>
            <w:pPr>
              <w:rPr>
                <w:rFonts w:ascii="宋体" w:hAnsi="宋体" w:cs="Arial"/>
                <w:color w:val="000000"/>
                <w:kern w:val="0"/>
                <w:sz w:val="22"/>
                <w:szCs w:val="22"/>
              </w:rPr>
            </w:pPr>
            <w:r>
              <w:rPr>
                <w:rFonts w:hint="eastAsia" w:ascii="宋体" w:hAnsi="宋体" w:cs="Arial"/>
                <w:color w:val="000000"/>
                <w:kern w:val="0"/>
                <w:sz w:val="22"/>
                <w:szCs w:val="22"/>
              </w:rPr>
              <w:t>事业收入</w:t>
            </w:r>
          </w:p>
        </w:tc>
        <w:tc>
          <w:tcPr>
            <w:tcW w:w="1276" w:type="dxa"/>
            <w:vMerge w:val="restart"/>
            <w:vAlign w:val="center"/>
          </w:tcPr>
          <w:p>
            <w:pPr>
              <w:rPr>
                <w:rFonts w:ascii="宋体" w:hAnsi="宋体" w:cs="Arial"/>
                <w:color w:val="000000"/>
                <w:kern w:val="0"/>
                <w:sz w:val="22"/>
                <w:szCs w:val="22"/>
              </w:rPr>
            </w:pPr>
            <w:r>
              <w:rPr>
                <w:rFonts w:hint="eastAsia" w:ascii="宋体" w:hAnsi="宋体" w:cs="Arial"/>
                <w:color w:val="000000"/>
                <w:kern w:val="0"/>
                <w:sz w:val="22"/>
                <w:szCs w:val="22"/>
              </w:rPr>
              <w:t>经营收入</w:t>
            </w:r>
          </w:p>
        </w:tc>
        <w:tc>
          <w:tcPr>
            <w:tcW w:w="1276" w:type="dxa"/>
            <w:vMerge w:val="restart"/>
            <w:vAlign w:val="center"/>
          </w:tcPr>
          <w:p>
            <w:pPr>
              <w:rPr>
                <w:rFonts w:ascii="宋体" w:hAnsi="宋体" w:cs="Arial"/>
                <w:color w:val="000000"/>
                <w:kern w:val="0"/>
                <w:sz w:val="22"/>
                <w:szCs w:val="22"/>
              </w:rPr>
            </w:pPr>
            <w:r>
              <w:rPr>
                <w:rFonts w:hint="eastAsia" w:ascii="宋体" w:hAnsi="宋体" w:cs="Arial"/>
                <w:color w:val="000000"/>
                <w:kern w:val="0"/>
                <w:sz w:val="22"/>
                <w:szCs w:val="22"/>
              </w:rPr>
              <w:t>附属单位上缴收入</w:t>
            </w:r>
          </w:p>
        </w:tc>
        <w:tc>
          <w:tcPr>
            <w:tcW w:w="1276" w:type="dxa"/>
            <w:vMerge w:val="restart"/>
            <w:vAlign w:val="center"/>
          </w:tcPr>
          <w:p>
            <w:pPr>
              <w:rPr>
                <w:rFonts w:ascii="宋体" w:hAnsi="宋体" w:cs="Arial"/>
                <w:color w:val="000000"/>
                <w:kern w:val="0"/>
                <w:sz w:val="22"/>
                <w:szCs w:val="22"/>
              </w:rPr>
            </w:pPr>
            <w:r>
              <w:rPr>
                <w:rFonts w:hint="eastAsia" w:ascii="宋体" w:hAnsi="宋体" w:cs="Arial"/>
                <w:color w:val="000000"/>
                <w:kern w:val="0"/>
                <w:sz w:val="22"/>
                <w:szCs w:val="22"/>
              </w:rPr>
              <w:t>其他收入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76" w:type="dxa"/>
            <w:gridSpan w:val="3"/>
            <w:vMerge w:val="continue"/>
          </w:tcPr>
          <w:p>
            <w:pPr>
              <w:rPr>
                <w:rFonts w:ascii="宋体" w:hAnsi="宋体" w:cs="Arial"/>
                <w:color w:val="000000"/>
                <w:kern w:val="0"/>
                <w:sz w:val="22"/>
                <w:szCs w:val="22"/>
              </w:rPr>
            </w:pPr>
          </w:p>
        </w:tc>
        <w:tc>
          <w:tcPr>
            <w:tcW w:w="2688" w:type="dxa"/>
            <w:vMerge w:val="continue"/>
          </w:tcPr>
          <w:p>
            <w:pPr>
              <w:rPr>
                <w:rFonts w:ascii="宋体" w:hAnsi="宋体" w:cs="Arial"/>
                <w:color w:val="000000"/>
                <w:kern w:val="0"/>
                <w:sz w:val="22"/>
                <w:szCs w:val="22"/>
              </w:rPr>
            </w:pPr>
          </w:p>
        </w:tc>
        <w:tc>
          <w:tcPr>
            <w:tcW w:w="1560" w:type="dxa"/>
            <w:vMerge w:val="continue"/>
          </w:tcPr>
          <w:p>
            <w:pPr>
              <w:rPr>
                <w:rFonts w:ascii="宋体" w:hAnsi="宋体" w:cs="Arial"/>
                <w:color w:val="000000"/>
                <w:kern w:val="0"/>
                <w:sz w:val="22"/>
                <w:szCs w:val="22"/>
              </w:rPr>
            </w:pPr>
          </w:p>
        </w:tc>
        <w:tc>
          <w:tcPr>
            <w:tcW w:w="1559" w:type="dxa"/>
            <w:vMerge w:val="continue"/>
          </w:tcPr>
          <w:p>
            <w:pPr>
              <w:rPr>
                <w:rFonts w:ascii="宋体" w:hAnsi="宋体" w:cs="Arial"/>
                <w:color w:val="000000"/>
                <w:kern w:val="0"/>
                <w:sz w:val="22"/>
                <w:szCs w:val="22"/>
              </w:rPr>
            </w:pPr>
          </w:p>
        </w:tc>
        <w:tc>
          <w:tcPr>
            <w:tcW w:w="1134" w:type="dxa"/>
            <w:vMerge w:val="continue"/>
          </w:tcPr>
          <w:p>
            <w:pPr>
              <w:rPr>
                <w:rFonts w:ascii="宋体" w:hAnsi="宋体" w:cs="Arial"/>
                <w:color w:val="000000"/>
                <w:kern w:val="0"/>
                <w:sz w:val="22"/>
                <w:szCs w:val="22"/>
              </w:rPr>
            </w:pPr>
          </w:p>
        </w:tc>
        <w:tc>
          <w:tcPr>
            <w:tcW w:w="1417" w:type="dxa"/>
            <w:vMerge w:val="continue"/>
          </w:tcPr>
          <w:p>
            <w:pPr>
              <w:rPr>
                <w:rFonts w:ascii="宋体" w:hAnsi="宋体" w:cs="Arial"/>
                <w:color w:val="000000"/>
                <w:kern w:val="0"/>
                <w:sz w:val="22"/>
                <w:szCs w:val="22"/>
              </w:rPr>
            </w:pPr>
          </w:p>
        </w:tc>
        <w:tc>
          <w:tcPr>
            <w:tcW w:w="1276" w:type="dxa"/>
            <w:vMerge w:val="continue"/>
          </w:tcPr>
          <w:p>
            <w:pPr>
              <w:rPr>
                <w:rFonts w:ascii="宋体" w:hAnsi="宋体" w:cs="Arial"/>
                <w:color w:val="000000"/>
                <w:kern w:val="0"/>
                <w:sz w:val="22"/>
                <w:szCs w:val="22"/>
              </w:rPr>
            </w:pPr>
          </w:p>
        </w:tc>
        <w:tc>
          <w:tcPr>
            <w:tcW w:w="1276" w:type="dxa"/>
            <w:vMerge w:val="continue"/>
          </w:tcPr>
          <w:p>
            <w:pPr>
              <w:rPr>
                <w:rFonts w:ascii="宋体" w:hAnsi="宋体" w:cs="Arial"/>
                <w:color w:val="000000"/>
                <w:kern w:val="0"/>
                <w:sz w:val="22"/>
                <w:szCs w:val="22"/>
              </w:rPr>
            </w:pPr>
          </w:p>
        </w:tc>
        <w:tc>
          <w:tcPr>
            <w:tcW w:w="1276" w:type="dxa"/>
            <w:vMerge w:val="continue"/>
          </w:tcPr>
          <w:p>
            <w:pPr>
              <w:rPr>
                <w:rFonts w:ascii="宋体" w:hAnsi="宋体" w:cs="Arial"/>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76" w:type="dxa"/>
            <w:gridSpan w:val="3"/>
            <w:vMerge w:val="continue"/>
          </w:tcPr>
          <w:p>
            <w:pPr>
              <w:rPr>
                <w:rFonts w:ascii="宋体" w:hAnsi="宋体" w:cs="Arial"/>
                <w:color w:val="000000"/>
                <w:kern w:val="0"/>
                <w:sz w:val="22"/>
                <w:szCs w:val="22"/>
              </w:rPr>
            </w:pPr>
          </w:p>
        </w:tc>
        <w:tc>
          <w:tcPr>
            <w:tcW w:w="2688" w:type="dxa"/>
            <w:vMerge w:val="continue"/>
          </w:tcPr>
          <w:p>
            <w:pPr>
              <w:rPr>
                <w:rFonts w:ascii="宋体" w:hAnsi="宋体" w:cs="Arial"/>
                <w:color w:val="000000"/>
                <w:kern w:val="0"/>
                <w:sz w:val="22"/>
                <w:szCs w:val="22"/>
              </w:rPr>
            </w:pPr>
          </w:p>
        </w:tc>
        <w:tc>
          <w:tcPr>
            <w:tcW w:w="1560" w:type="dxa"/>
            <w:vMerge w:val="continue"/>
          </w:tcPr>
          <w:p>
            <w:pPr>
              <w:rPr>
                <w:rFonts w:ascii="宋体" w:hAnsi="宋体" w:cs="Arial"/>
                <w:color w:val="000000"/>
                <w:kern w:val="0"/>
                <w:sz w:val="22"/>
                <w:szCs w:val="22"/>
              </w:rPr>
            </w:pPr>
          </w:p>
        </w:tc>
        <w:tc>
          <w:tcPr>
            <w:tcW w:w="1559" w:type="dxa"/>
            <w:vMerge w:val="continue"/>
          </w:tcPr>
          <w:p>
            <w:pPr>
              <w:rPr>
                <w:rFonts w:ascii="宋体" w:hAnsi="宋体" w:cs="Arial"/>
                <w:color w:val="000000"/>
                <w:kern w:val="0"/>
                <w:sz w:val="22"/>
                <w:szCs w:val="22"/>
              </w:rPr>
            </w:pPr>
          </w:p>
        </w:tc>
        <w:tc>
          <w:tcPr>
            <w:tcW w:w="1134" w:type="dxa"/>
            <w:vMerge w:val="continue"/>
          </w:tcPr>
          <w:p>
            <w:pPr>
              <w:rPr>
                <w:rFonts w:ascii="宋体" w:hAnsi="宋体" w:cs="Arial"/>
                <w:color w:val="000000"/>
                <w:kern w:val="0"/>
                <w:sz w:val="22"/>
                <w:szCs w:val="22"/>
              </w:rPr>
            </w:pPr>
          </w:p>
        </w:tc>
        <w:tc>
          <w:tcPr>
            <w:tcW w:w="1417" w:type="dxa"/>
            <w:vMerge w:val="continue"/>
          </w:tcPr>
          <w:p>
            <w:pPr>
              <w:rPr>
                <w:rFonts w:ascii="宋体" w:hAnsi="宋体" w:cs="Arial"/>
                <w:color w:val="000000"/>
                <w:kern w:val="0"/>
                <w:sz w:val="22"/>
                <w:szCs w:val="22"/>
              </w:rPr>
            </w:pPr>
          </w:p>
        </w:tc>
        <w:tc>
          <w:tcPr>
            <w:tcW w:w="1276" w:type="dxa"/>
            <w:vMerge w:val="continue"/>
          </w:tcPr>
          <w:p>
            <w:pPr>
              <w:rPr>
                <w:rFonts w:ascii="宋体" w:hAnsi="宋体" w:cs="Arial"/>
                <w:color w:val="000000"/>
                <w:kern w:val="0"/>
                <w:sz w:val="22"/>
                <w:szCs w:val="22"/>
              </w:rPr>
            </w:pPr>
          </w:p>
        </w:tc>
        <w:tc>
          <w:tcPr>
            <w:tcW w:w="1276" w:type="dxa"/>
            <w:vMerge w:val="continue"/>
          </w:tcPr>
          <w:p>
            <w:pPr>
              <w:rPr>
                <w:rFonts w:ascii="宋体" w:hAnsi="宋体" w:cs="Arial"/>
                <w:color w:val="000000"/>
                <w:kern w:val="0"/>
                <w:sz w:val="22"/>
                <w:szCs w:val="22"/>
              </w:rPr>
            </w:pPr>
          </w:p>
        </w:tc>
        <w:tc>
          <w:tcPr>
            <w:tcW w:w="1276" w:type="dxa"/>
            <w:vMerge w:val="continue"/>
          </w:tcPr>
          <w:p>
            <w:pPr>
              <w:rPr>
                <w:rFonts w:ascii="宋体" w:hAnsi="宋体" w:cs="Arial"/>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76" w:type="dxa"/>
            <w:gridSpan w:val="3"/>
            <w:vMerge w:val="continue"/>
          </w:tcPr>
          <w:p>
            <w:pPr>
              <w:rPr>
                <w:rFonts w:ascii="宋体" w:hAnsi="宋体" w:cs="Arial"/>
                <w:color w:val="000000"/>
                <w:kern w:val="0"/>
                <w:sz w:val="22"/>
                <w:szCs w:val="22"/>
              </w:rPr>
            </w:pPr>
          </w:p>
        </w:tc>
        <w:tc>
          <w:tcPr>
            <w:tcW w:w="2688" w:type="dxa"/>
            <w:vMerge w:val="continue"/>
          </w:tcPr>
          <w:p>
            <w:pPr>
              <w:rPr>
                <w:rFonts w:ascii="宋体" w:hAnsi="宋体" w:cs="Arial"/>
                <w:color w:val="000000"/>
                <w:kern w:val="0"/>
                <w:sz w:val="22"/>
                <w:szCs w:val="22"/>
              </w:rPr>
            </w:pPr>
          </w:p>
        </w:tc>
        <w:tc>
          <w:tcPr>
            <w:tcW w:w="1560" w:type="dxa"/>
            <w:vMerge w:val="continue"/>
          </w:tcPr>
          <w:p>
            <w:pPr>
              <w:rPr>
                <w:rFonts w:ascii="宋体" w:hAnsi="宋体" w:cs="Arial"/>
                <w:color w:val="000000"/>
                <w:kern w:val="0"/>
                <w:sz w:val="22"/>
                <w:szCs w:val="22"/>
              </w:rPr>
            </w:pPr>
          </w:p>
        </w:tc>
        <w:tc>
          <w:tcPr>
            <w:tcW w:w="1559" w:type="dxa"/>
            <w:vMerge w:val="continue"/>
          </w:tcPr>
          <w:p>
            <w:pPr>
              <w:rPr>
                <w:rFonts w:ascii="宋体" w:hAnsi="宋体" w:cs="Arial"/>
                <w:color w:val="000000"/>
                <w:kern w:val="0"/>
                <w:sz w:val="22"/>
                <w:szCs w:val="22"/>
              </w:rPr>
            </w:pPr>
          </w:p>
        </w:tc>
        <w:tc>
          <w:tcPr>
            <w:tcW w:w="1134" w:type="dxa"/>
            <w:vMerge w:val="continue"/>
          </w:tcPr>
          <w:p>
            <w:pPr>
              <w:rPr>
                <w:rFonts w:ascii="宋体" w:hAnsi="宋体" w:cs="Arial"/>
                <w:color w:val="000000"/>
                <w:kern w:val="0"/>
                <w:sz w:val="22"/>
                <w:szCs w:val="22"/>
              </w:rPr>
            </w:pPr>
          </w:p>
        </w:tc>
        <w:tc>
          <w:tcPr>
            <w:tcW w:w="1417" w:type="dxa"/>
            <w:vMerge w:val="continue"/>
          </w:tcPr>
          <w:p>
            <w:pPr>
              <w:rPr>
                <w:rFonts w:ascii="宋体" w:hAnsi="宋体" w:cs="Arial"/>
                <w:color w:val="000000"/>
                <w:kern w:val="0"/>
                <w:sz w:val="22"/>
                <w:szCs w:val="22"/>
              </w:rPr>
            </w:pPr>
          </w:p>
        </w:tc>
        <w:tc>
          <w:tcPr>
            <w:tcW w:w="1276" w:type="dxa"/>
            <w:vMerge w:val="continue"/>
          </w:tcPr>
          <w:p>
            <w:pPr>
              <w:rPr>
                <w:rFonts w:ascii="宋体" w:hAnsi="宋体" w:cs="Arial"/>
                <w:color w:val="000000"/>
                <w:kern w:val="0"/>
                <w:sz w:val="22"/>
                <w:szCs w:val="22"/>
              </w:rPr>
            </w:pPr>
          </w:p>
        </w:tc>
        <w:tc>
          <w:tcPr>
            <w:tcW w:w="1276" w:type="dxa"/>
            <w:vMerge w:val="continue"/>
          </w:tcPr>
          <w:p>
            <w:pPr>
              <w:rPr>
                <w:rFonts w:ascii="宋体" w:hAnsi="宋体" w:cs="Arial"/>
                <w:color w:val="000000"/>
                <w:kern w:val="0"/>
                <w:sz w:val="22"/>
                <w:szCs w:val="22"/>
              </w:rPr>
            </w:pPr>
          </w:p>
        </w:tc>
        <w:tc>
          <w:tcPr>
            <w:tcW w:w="1276" w:type="dxa"/>
            <w:vMerge w:val="continue"/>
          </w:tcPr>
          <w:p>
            <w:pPr>
              <w:rPr>
                <w:rFonts w:ascii="宋体" w:hAnsi="宋体" w:cs="Arial"/>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25" w:type="dxa"/>
            <w:vMerge w:val="restart"/>
            <w:noWrap/>
          </w:tcPr>
          <w:p>
            <w:pPr>
              <w:rPr>
                <w:rFonts w:ascii="宋体" w:hAnsi="宋体" w:cs="Arial"/>
                <w:color w:val="000000"/>
                <w:kern w:val="0"/>
                <w:sz w:val="22"/>
                <w:szCs w:val="22"/>
              </w:rPr>
            </w:pPr>
            <w:r>
              <w:rPr>
                <w:rFonts w:hint="eastAsia" w:ascii="宋体" w:hAnsi="宋体" w:cs="Arial"/>
                <w:color w:val="000000"/>
                <w:kern w:val="0"/>
                <w:sz w:val="22"/>
                <w:szCs w:val="22"/>
              </w:rPr>
              <w:t>类</w:t>
            </w:r>
          </w:p>
        </w:tc>
        <w:tc>
          <w:tcPr>
            <w:tcW w:w="425" w:type="dxa"/>
            <w:vMerge w:val="restart"/>
            <w:noWrap/>
          </w:tcPr>
          <w:p>
            <w:pPr>
              <w:rPr>
                <w:rFonts w:ascii="宋体" w:hAnsi="宋体" w:cs="Arial"/>
                <w:color w:val="000000"/>
                <w:kern w:val="0"/>
                <w:sz w:val="22"/>
                <w:szCs w:val="22"/>
              </w:rPr>
            </w:pPr>
            <w:r>
              <w:rPr>
                <w:rFonts w:hint="eastAsia" w:ascii="宋体" w:hAnsi="宋体" w:cs="Arial"/>
                <w:color w:val="000000"/>
                <w:kern w:val="0"/>
                <w:sz w:val="22"/>
                <w:szCs w:val="22"/>
              </w:rPr>
              <w:t>款</w:t>
            </w:r>
          </w:p>
        </w:tc>
        <w:tc>
          <w:tcPr>
            <w:tcW w:w="426" w:type="dxa"/>
            <w:vMerge w:val="restart"/>
            <w:noWrap/>
          </w:tcPr>
          <w:p>
            <w:pPr>
              <w:rPr>
                <w:rFonts w:ascii="宋体" w:hAnsi="宋体" w:cs="Arial"/>
                <w:color w:val="000000"/>
                <w:kern w:val="0"/>
                <w:sz w:val="22"/>
                <w:szCs w:val="22"/>
              </w:rPr>
            </w:pPr>
            <w:r>
              <w:rPr>
                <w:rFonts w:hint="eastAsia" w:ascii="宋体" w:hAnsi="宋体" w:cs="Arial"/>
                <w:color w:val="000000"/>
                <w:kern w:val="0"/>
                <w:sz w:val="22"/>
                <w:szCs w:val="22"/>
              </w:rPr>
              <w:t>项</w:t>
            </w:r>
          </w:p>
        </w:tc>
        <w:tc>
          <w:tcPr>
            <w:tcW w:w="2688" w:type="dxa"/>
            <w:noWrap/>
          </w:tcPr>
          <w:p>
            <w:pPr>
              <w:rPr>
                <w:rFonts w:ascii="宋体" w:hAnsi="宋体" w:cs="Arial"/>
                <w:color w:val="000000"/>
                <w:kern w:val="0"/>
                <w:sz w:val="22"/>
                <w:szCs w:val="22"/>
              </w:rPr>
            </w:pPr>
            <w:r>
              <w:rPr>
                <w:rFonts w:hint="eastAsia" w:ascii="宋体" w:hAnsi="宋体" w:cs="Arial"/>
                <w:color w:val="000000"/>
                <w:kern w:val="0"/>
                <w:sz w:val="22"/>
                <w:szCs w:val="22"/>
              </w:rPr>
              <w:t>栏次</w:t>
            </w:r>
          </w:p>
        </w:tc>
        <w:tc>
          <w:tcPr>
            <w:tcW w:w="1560" w:type="dxa"/>
          </w:tcPr>
          <w:p>
            <w:pPr>
              <w:rPr>
                <w:rFonts w:ascii="宋体" w:hAnsi="宋体" w:cs="Arial"/>
                <w:color w:val="000000"/>
                <w:kern w:val="0"/>
                <w:sz w:val="22"/>
                <w:szCs w:val="22"/>
              </w:rPr>
            </w:pPr>
            <w:r>
              <w:rPr>
                <w:rFonts w:hint="eastAsia" w:ascii="宋体" w:hAnsi="宋体" w:cs="Arial"/>
                <w:color w:val="000000"/>
                <w:kern w:val="0"/>
                <w:sz w:val="22"/>
                <w:szCs w:val="22"/>
              </w:rPr>
              <w:t>1</w:t>
            </w:r>
          </w:p>
        </w:tc>
        <w:tc>
          <w:tcPr>
            <w:tcW w:w="1559" w:type="dxa"/>
          </w:tcPr>
          <w:p>
            <w:pPr>
              <w:rPr>
                <w:rFonts w:ascii="宋体" w:hAnsi="宋体" w:cs="Arial"/>
                <w:color w:val="000000"/>
                <w:kern w:val="0"/>
                <w:sz w:val="22"/>
                <w:szCs w:val="22"/>
              </w:rPr>
            </w:pPr>
            <w:r>
              <w:rPr>
                <w:rFonts w:hint="eastAsia" w:ascii="宋体" w:hAnsi="宋体" w:cs="Arial"/>
                <w:color w:val="000000"/>
                <w:kern w:val="0"/>
                <w:sz w:val="22"/>
                <w:szCs w:val="22"/>
              </w:rPr>
              <w:t>2</w:t>
            </w:r>
          </w:p>
        </w:tc>
        <w:tc>
          <w:tcPr>
            <w:tcW w:w="1134" w:type="dxa"/>
          </w:tcPr>
          <w:p>
            <w:pPr>
              <w:rPr>
                <w:rFonts w:ascii="宋体" w:hAnsi="宋体" w:cs="Arial"/>
                <w:color w:val="000000"/>
                <w:kern w:val="0"/>
                <w:sz w:val="22"/>
                <w:szCs w:val="22"/>
              </w:rPr>
            </w:pPr>
            <w:r>
              <w:rPr>
                <w:rFonts w:hint="eastAsia" w:ascii="宋体" w:hAnsi="宋体" w:cs="Arial"/>
                <w:color w:val="000000"/>
                <w:kern w:val="0"/>
                <w:sz w:val="22"/>
                <w:szCs w:val="22"/>
              </w:rPr>
              <w:t>3</w:t>
            </w:r>
          </w:p>
        </w:tc>
        <w:tc>
          <w:tcPr>
            <w:tcW w:w="1417" w:type="dxa"/>
          </w:tcPr>
          <w:p>
            <w:pPr>
              <w:rPr>
                <w:rFonts w:ascii="宋体" w:hAnsi="宋体" w:cs="Arial"/>
                <w:color w:val="000000"/>
                <w:kern w:val="0"/>
                <w:sz w:val="22"/>
                <w:szCs w:val="22"/>
              </w:rPr>
            </w:pPr>
            <w:r>
              <w:rPr>
                <w:rFonts w:hint="eastAsia" w:ascii="宋体" w:hAnsi="宋体" w:cs="Arial"/>
                <w:color w:val="000000"/>
                <w:kern w:val="0"/>
                <w:sz w:val="22"/>
                <w:szCs w:val="22"/>
              </w:rPr>
              <w:t>4</w:t>
            </w:r>
          </w:p>
        </w:tc>
        <w:tc>
          <w:tcPr>
            <w:tcW w:w="1276" w:type="dxa"/>
          </w:tcPr>
          <w:p>
            <w:pPr>
              <w:rPr>
                <w:rFonts w:ascii="宋体" w:hAnsi="宋体" w:cs="Arial"/>
                <w:color w:val="000000"/>
                <w:kern w:val="0"/>
                <w:sz w:val="22"/>
                <w:szCs w:val="22"/>
              </w:rPr>
            </w:pPr>
            <w:r>
              <w:rPr>
                <w:rFonts w:hint="eastAsia" w:ascii="宋体" w:hAnsi="宋体" w:cs="Arial"/>
                <w:color w:val="000000"/>
                <w:kern w:val="0"/>
                <w:sz w:val="22"/>
                <w:szCs w:val="22"/>
              </w:rPr>
              <w:t>5</w:t>
            </w:r>
          </w:p>
        </w:tc>
        <w:tc>
          <w:tcPr>
            <w:tcW w:w="1276" w:type="dxa"/>
          </w:tcPr>
          <w:p>
            <w:pPr>
              <w:rPr>
                <w:rFonts w:ascii="宋体" w:hAnsi="宋体" w:cs="Arial"/>
                <w:color w:val="000000"/>
                <w:kern w:val="0"/>
                <w:sz w:val="22"/>
                <w:szCs w:val="22"/>
              </w:rPr>
            </w:pPr>
            <w:r>
              <w:rPr>
                <w:rFonts w:hint="eastAsia" w:ascii="宋体" w:hAnsi="宋体" w:cs="Arial"/>
                <w:color w:val="000000"/>
                <w:kern w:val="0"/>
                <w:sz w:val="22"/>
                <w:szCs w:val="22"/>
              </w:rPr>
              <w:t>6</w:t>
            </w:r>
          </w:p>
        </w:tc>
        <w:tc>
          <w:tcPr>
            <w:tcW w:w="1276" w:type="dxa"/>
          </w:tcPr>
          <w:p>
            <w:pPr>
              <w:rPr>
                <w:rFonts w:ascii="宋体" w:hAnsi="宋体" w:cs="Arial"/>
                <w:color w:val="000000"/>
                <w:kern w:val="0"/>
                <w:sz w:val="22"/>
                <w:szCs w:val="22"/>
              </w:rPr>
            </w:pPr>
            <w:r>
              <w:rPr>
                <w:rFonts w:hint="eastAsia" w:ascii="宋体" w:hAnsi="宋体" w:cs="Arial"/>
                <w:color w:val="000000"/>
                <w:kern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25" w:type="dxa"/>
            <w:vMerge w:val="continue"/>
          </w:tcPr>
          <w:p>
            <w:pPr>
              <w:rPr>
                <w:rFonts w:ascii="宋体" w:hAnsi="宋体" w:cs="Arial"/>
                <w:color w:val="000000"/>
                <w:kern w:val="0"/>
                <w:sz w:val="22"/>
                <w:szCs w:val="22"/>
              </w:rPr>
            </w:pPr>
          </w:p>
        </w:tc>
        <w:tc>
          <w:tcPr>
            <w:tcW w:w="425" w:type="dxa"/>
            <w:vMerge w:val="continue"/>
          </w:tcPr>
          <w:p>
            <w:pPr>
              <w:rPr>
                <w:rFonts w:ascii="宋体" w:hAnsi="宋体" w:cs="Arial"/>
                <w:color w:val="000000"/>
                <w:kern w:val="0"/>
                <w:sz w:val="22"/>
                <w:szCs w:val="22"/>
              </w:rPr>
            </w:pPr>
          </w:p>
        </w:tc>
        <w:tc>
          <w:tcPr>
            <w:tcW w:w="426" w:type="dxa"/>
            <w:vMerge w:val="continue"/>
          </w:tcPr>
          <w:p>
            <w:pPr>
              <w:rPr>
                <w:rFonts w:ascii="宋体" w:hAnsi="宋体" w:cs="Arial"/>
                <w:color w:val="000000"/>
                <w:kern w:val="0"/>
                <w:sz w:val="22"/>
                <w:szCs w:val="22"/>
              </w:rPr>
            </w:pPr>
          </w:p>
        </w:tc>
        <w:tc>
          <w:tcPr>
            <w:tcW w:w="2688" w:type="dxa"/>
            <w:noWrap/>
          </w:tcPr>
          <w:p>
            <w:pPr>
              <w:rPr>
                <w:rFonts w:ascii="宋体" w:hAnsi="宋体" w:cs="Arial"/>
                <w:color w:val="000000"/>
                <w:kern w:val="0"/>
                <w:sz w:val="22"/>
                <w:szCs w:val="22"/>
              </w:rPr>
            </w:pPr>
            <w:r>
              <w:rPr>
                <w:rFonts w:hint="eastAsia" w:ascii="宋体" w:hAnsi="宋体" w:cs="Arial"/>
                <w:color w:val="000000"/>
                <w:kern w:val="0"/>
                <w:sz w:val="22"/>
                <w:szCs w:val="22"/>
              </w:rPr>
              <w:t>合计</w:t>
            </w:r>
          </w:p>
        </w:tc>
        <w:tc>
          <w:tcPr>
            <w:tcW w:w="1560"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154,947.75</w:t>
            </w:r>
          </w:p>
        </w:tc>
        <w:tc>
          <w:tcPr>
            <w:tcW w:w="1559"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104,474.79</w:t>
            </w:r>
          </w:p>
        </w:tc>
        <w:tc>
          <w:tcPr>
            <w:tcW w:w="1134"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417"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40,243.16</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6,868.19</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3,361.61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b/>
                <w:bCs/>
                <w:color w:val="000000"/>
                <w:kern w:val="0"/>
                <w:sz w:val="22"/>
                <w:szCs w:val="22"/>
              </w:rPr>
            </w:pPr>
            <w:r>
              <w:rPr>
                <w:rFonts w:hint="eastAsia" w:ascii="宋体" w:hAnsi="宋体" w:cs="Arial"/>
                <w:b/>
                <w:bCs/>
                <w:color w:val="000000"/>
                <w:kern w:val="0"/>
                <w:sz w:val="22"/>
                <w:szCs w:val="22"/>
              </w:rPr>
              <w:t>205</w:t>
            </w:r>
          </w:p>
        </w:tc>
        <w:tc>
          <w:tcPr>
            <w:tcW w:w="2688"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教育支出</w:t>
            </w:r>
          </w:p>
        </w:tc>
        <w:tc>
          <w:tcPr>
            <w:tcW w:w="1560"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115,019.95</w:t>
            </w:r>
          </w:p>
        </w:tc>
        <w:tc>
          <w:tcPr>
            <w:tcW w:w="1559"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65,020.25</w:t>
            </w:r>
          </w:p>
        </w:tc>
        <w:tc>
          <w:tcPr>
            <w:tcW w:w="1134"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417"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39,769.90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6,868.19</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3,361.61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b/>
                <w:bCs/>
                <w:color w:val="000000"/>
                <w:kern w:val="0"/>
                <w:sz w:val="22"/>
                <w:szCs w:val="22"/>
              </w:rPr>
            </w:pPr>
            <w:r>
              <w:rPr>
                <w:rFonts w:hint="eastAsia" w:ascii="宋体" w:hAnsi="宋体" w:cs="Arial"/>
                <w:b/>
                <w:bCs/>
                <w:color w:val="000000"/>
                <w:kern w:val="0"/>
                <w:sz w:val="22"/>
                <w:szCs w:val="22"/>
              </w:rPr>
              <w:t>20502</w:t>
            </w:r>
          </w:p>
        </w:tc>
        <w:tc>
          <w:tcPr>
            <w:tcW w:w="2688"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普通教育</w:t>
            </w:r>
          </w:p>
        </w:tc>
        <w:tc>
          <w:tcPr>
            <w:tcW w:w="1560"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115,019.95</w:t>
            </w:r>
          </w:p>
        </w:tc>
        <w:tc>
          <w:tcPr>
            <w:tcW w:w="1559"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65,020.25</w:t>
            </w:r>
          </w:p>
        </w:tc>
        <w:tc>
          <w:tcPr>
            <w:tcW w:w="1134"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417"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39,769.90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6,868.19</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3,361.61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color w:val="000000"/>
                <w:kern w:val="0"/>
                <w:sz w:val="22"/>
                <w:szCs w:val="22"/>
              </w:rPr>
            </w:pPr>
            <w:r>
              <w:rPr>
                <w:rFonts w:hint="eastAsia" w:ascii="宋体" w:hAnsi="宋体" w:cs="Arial"/>
                <w:color w:val="000000"/>
                <w:kern w:val="0"/>
                <w:sz w:val="22"/>
                <w:szCs w:val="22"/>
              </w:rPr>
              <w:t>2050202</w:t>
            </w:r>
          </w:p>
        </w:tc>
        <w:tc>
          <w:tcPr>
            <w:tcW w:w="2688" w:type="dxa"/>
            <w:noWrap/>
          </w:tcPr>
          <w:p>
            <w:pPr>
              <w:rPr>
                <w:rFonts w:ascii="宋体" w:hAnsi="宋体" w:cs="Arial"/>
                <w:color w:val="000000"/>
                <w:kern w:val="0"/>
                <w:sz w:val="22"/>
                <w:szCs w:val="22"/>
              </w:rPr>
            </w:pPr>
            <w:r>
              <w:rPr>
                <w:rFonts w:hint="eastAsia" w:ascii="宋体" w:hAnsi="宋体" w:cs="Arial"/>
                <w:color w:val="000000"/>
                <w:kern w:val="0"/>
                <w:sz w:val="22"/>
                <w:szCs w:val="22"/>
              </w:rPr>
              <w:t xml:space="preserve">  小学教育</w:t>
            </w:r>
          </w:p>
        </w:tc>
        <w:tc>
          <w:tcPr>
            <w:tcW w:w="1560" w:type="dxa"/>
            <w:noWrap/>
          </w:tcPr>
          <w:p>
            <w:pPr>
              <w:rPr>
                <w:rFonts w:ascii="宋体" w:hAnsi="宋体" w:cs="Arial"/>
                <w:color w:val="000000"/>
                <w:kern w:val="0"/>
                <w:sz w:val="22"/>
                <w:szCs w:val="22"/>
              </w:rPr>
            </w:pPr>
            <w:r>
              <w:rPr>
                <w:rFonts w:hint="eastAsia" w:ascii="宋体" w:hAnsi="宋体" w:cs="Arial"/>
                <w:color w:val="000000"/>
                <w:kern w:val="0"/>
                <w:sz w:val="22"/>
                <w:szCs w:val="22"/>
              </w:rPr>
              <w:t>915.30</w:t>
            </w:r>
          </w:p>
        </w:tc>
        <w:tc>
          <w:tcPr>
            <w:tcW w:w="1559" w:type="dxa"/>
            <w:noWrap/>
          </w:tcPr>
          <w:p>
            <w:pPr>
              <w:rPr>
                <w:rFonts w:ascii="宋体" w:hAnsi="宋体" w:cs="Arial"/>
                <w:color w:val="000000"/>
                <w:kern w:val="0"/>
                <w:sz w:val="22"/>
                <w:szCs w:val="22"/>
              </w:rPr>
            </w:pPr>
            <w:r>
              <w:rPr>
                <w:rFonts w:hint="eastAsia" w:ascii="宋体" w:hAnsi="宋体" w:cs="Arial"/>
                <w:color w:val="000000"/>
                <w:kern w:val="0"/>
                <w:sz w:val="22"/>
                <w:szCs w:val="22"/>
              </w:rPr>
              <w:t>915.30</w:t>
            </w:r>
          </w:p>
        </w:tc>
        <w:tc>
          <w:tcPr>
            <w:tcW w:w="1134"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417"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color w:val="000000"/>
                <w:kern w:val="0"/>
                <w:sz w:val="22"/>
                <w:szCs w:val="22"/>
              </w:rPr>
            </w:pPr>
            <w:r>
              <w:rPr>
                <w:rFonts w:hint="eastAsia" w:ascii="宋体" w:hAnsi="宋体" w:cs="Arial"/>
                <w:color w:val="000000"/>
                <w:kern w:val="0"/>
                <w:sz w:val="22"/>
                <w:szCs w:val="22"/>
              </w:rPr>
              <w:t>2050205</w:t>
            </w:r>
          </w:p>
        </w:tc>
        <w:tc>
          <w:tcPr>
            <w:tcW w:w="2688" w:type="dxa"/>
            <w:noWrap/>
          </w:tcPr>
          <w:p>
            <w:pPr>
              <w:rPr>
                <w:rFonts w:ascii="宋体" w:hAnsi="宋体" w:cs="Arial"/>
                <w:color w:val="000000"/>
                <w:kern w:val="0"/>
                <w:sz w:val="22"/>
                <w:szCs w:val="22"/>
              </w:rPr>
            </w:pPr>
            <w:r>
              <w:rPr>
                <w:rFonts w:hint="eastAsia" w:ascii="宋体" w:hAnsi="宋体" w:cs="Arial"/>
                <w:color w:val="000000"/>
                <w:kern w:val="0"/>
                <w:sz w:val="22"/>
                <w:szCs w:val="22"/>
              </w:rPr>
              <w:t xml:space="preserve">  高等教育</w:t>
            </w:r>
          </w:p>
        </w:tc>
        <w:tc>
          <w:tcPr>
            <w:tcW w:w="1560" w:type="dxa"/>
            <w:noWrap/>
          </w:tcPr>
          <w:p>
            <w:pPr>
              <w:rPr>
                <w:rFonts w:ascii="宋体" w:hAnsi="宋体" w:cs="Arial"/>
                <w:color w:val="000000"/>
                <w:kern w:val="0"/>
                <w:sz w:val="22"/>
                <w:szCs w:val="22"/>
              </w:rPr>
            </w:pPr>
            <w:r>
              <w:rPr>
                <w:rFonts w:hint="eastAsia" w:ascii="宋体" w:hAnsi="宋体" w:cs="Arial"/>
                <w:color w:val="000000"/>
                <w:kern w:val="0"/>
                <w:sz w:val="22"/>
                <w:szCs w:val="22"/>
              </w:rPr>
              <w:t>114,104.66</w:t>
            </w:r>
          </w:p>
        </w:tc>
        <w:tc>
          <w:tcPr>
            <w:tcW w:w="1559" w:type="dxa"/>
            <w:noWrap/>
          </w:tcPr>
          <w:p>
            <w:pPr>
              <w:rPr>
                <w:rFonts w:ascii="宋体" w:hAnsi="宋体" w:cs="Arial"/>
                <w:color w:val="000000"/>
                <w:kern w:val="0"/>
                <w:sz w:val="22"/>
                <w:szCs w:val="22"/>
              </w:rPr>
            </w:pPr>
            <w:r>
              <w:rPr>
                <w:rFonts w:hint="eastAsia" w:ascii="宋体" w:hAnsi="宋体" w:cs="Arial"/>
                <w:color w:val="000000"/>
                <w:kern w:val="0"/>
                <w:sz w:val="22"/>
                <w:szCs w:val="22"/>
              </w:rPr>
              <w:t>64,104.96</w:t>
            </w:r>
          </w:p>
        </w:tc>
        <w:tc>
          <w:tcPr>
            <w:tcW w:w="1134"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417" w:type="dxa"/>
            <w:noWrap/>
          </w:tcPr>
          <w:p>
            <w:pPr>
              <w:rPr>
                <w:rFonts w:ascii="宋体" w:hAnsi="宋体" w:cs="Arial"/>
                <w:color w:val="000000"/>
                <w:kern w:val="0"/>
                <w:sz w:val="22"/>
                <w:szCs w:val="22"/>
              </w:rPr>
            </w:pPr>
            <w:r>
              <w:rPr>
                <w:rFonts w:hint="eastAsia" w:ascii="宋体" w:hAnsi="宋体" w:cs="Arial"/>
                <w:color w:val="000000"/>
                <w:kern w:val="0"/>
                <w:sz w:val="22"/>
                <w:szCs w:val="22"/>
              </w:rPr>
              <w:t>39,769.90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6,868.19</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3,361.61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b/>
                <w:bCs/>
                <w:color w:val="000000"/>
                <w:kern w:val="0"/>
                <w:sz w:val="22"/>
                <w:szCs w:val="22"/>
              </w:rPr>
            </w:pPr>
            <w:r>
              <w:rPr>
                <w:rFonts w:hint="eastAsia" w:ascii="宋体" w:hAnsi="宋体" w:cs="Arial"/>
                <w:b/>
                <w:bCs/>
                <w:color w:val="000000"/>
                <w:kern w:val="0"/>
                <w:sz w:val="22"/>
                <w:szCs w:val="22"/>
              </w:rPr>
              <w:t>206</w:t>
            </w:r>
          </w:p>
        </w:tc>
        <w:tc>
          <w:tcPr>
            <w:tcW w:w="2688"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科学技术支出</w:t>
            </w:r>
          </w:p>
        </w:tc>
        <w:tc>
          <w:tcPr>
            <w:tcW w:w="1560"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425.23</w:t>
            </w:r>
          </w:p>
        </w:tc>
        <w:tc>
          <w:tcPr>
            <w:tcW w:w="1559"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425.23</w:t>
            </w:r>
          </w:p>
        </w:tc>
        <w:tc>
          <w:tcPr>
            <w:tcW w:w="1134"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417"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b/>
                <w:bCs/>
                <w:color w:val="000000"/>
                <w:kern w:val="0"/>
                <w:sz w:val="22"/>
                <w:szCs w:val="22"/>
              </w:rPr>
            </w:pPr>
            <w:r>
              <w:rPr>
                <w:rFonts w:hint="eastAsia" w:ascii="宋体" w:hAnsi="宋体" w:cs="Arial"/>
                <w:b/>
                <w:bCs/>
                <w:color w:val="000000"/>
                <w:kern w:val="0"/>
                <w:sz w:val="22"/>
                <w:szCs w:val="22"/>
              </w:rPr>
              <w:t>20699</w:t>
            </w:r>
          </w:p>
        </w:tc>
        <w:tc>
          <w:tcPr>
            <w:tcW w:w="2688"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其他科学技术支出</w:t>
            </w:r>
          </w:p>
        </w:tc>
        <w:tc>
          <w:tcPr>
            <w:tcW w:w="1560"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425.23</w:t>
            </w:r>
          </w:p>
        </w:tc>
        <w:tc>
          <w:tcPr>
            <w:tcW w:w="1559"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425.23</w:t>
            </w:r>
          </w:p>
        </w:tc>
        <w:tc>
          <w:tcPr>
            <w:tcW w:w="1134"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417"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color w:val="000000"/>
                <w:kern w:val="0"/>
                <w:sz w:val="22"/>
                <w:szCs w:val="22"/>
              </w:rPr>
            </w:pPr>
            <w:r>
              <w:rPr>
                <w:rFonts w:hint="eastAsia" w:ascii="宋体" w:hAnsi="宋体" w:cs="Arial"/>
                <w:color w:val="000000"/>
                <w:kern w:val="0"/>
                <w:sz w:val="22"/>
                <w:szCs w:val="22"/>
              </w:rPr>
              <w:t>2069999</w:t>
            </w:r>
          </w:p>
        </w:tc>
        <w:tc>
          <w:tcPr>
            <w:tcW w:w="2688" w:type="dxa"/>
            <w:noWrap/>
          </w:tcPr>
          <w:p>
            <w:pPr>
              <w:rPr>
                <w:rFonts w:ascii="宋体" w:hAnsi="宋体" w:cs="Arial"/>
                <w:color w:val="000000"/>
                <w:kern w:val="0"/>
                <w:sz w:val="22"/>
                <w:szCs w:val="22"/>
              </w:rPr>
            </w:pPr>
            <w:r>
              <w:rPr>
                <w:rFonts w:hint="eastAsia" w:ascii="宋体" w:hAnsi="宋体" w:cs="Arial"/>
                <w:color w:val="000000"/>
                <w:kern w:val="0"/>
                <w:sz w:val="22"/>
                <w:szCs w:val="22"/>
              </w:rPr>
              <w:t xml:space="preserve">  其他科学技术支出</w:t>
            </w:r>
          </w:p>
        </w:tc>
        <w:tc>
          <w:tcPr>
            <w:tcW w:w="1560" w:type="dxa"/>
            <w:noWrap/>
          </w:tcPr>
          <w:p>
            <w:pPr>
              <w:rPr>
                <w:rFonts w:ascii="宋体" w:hAnsi="宋体" w:cs="Arial"/>
                <w:color w:val="000000"/>
                <w:kern w:val="0"/>
                <w:sz w:val="22"/>
                <w:szCs w:val="22"/>
              </w:rPr>
            </w:pPr>
            <w:r>
              <w:rPr>
                <w:rFonts w:hint="eastAsia" w:ascii="宋体" w:hAnsi="宋体" w:cs="Arial"/>
                <w:color w:val="000000"/>
                <w:kern w:val="0"/>
                <w:sz w:val="22"/>
                <w:szCs w:val="22"/>
              </w:rPr>
              <w:t>425.23</w:t>
            </w:r>
          </w:p>
        </w:tc>
        <w:tc>
          <w:tcPr>
            <w:tcW w:w="1559" w:type="dxa"/>
            <w:noWrap/>
          </w:tcPr>
          <w:p>
            <w:pPr>
              <w:rPr>
                <w:rFonts w:ascii="宋体" w:hAnsi="宋体" w:cs="Arial"/>
                <w:color w:val="000000"/>
                <w:kern w:val="0"/>
                <w:sz w:val="22"/>
                <w:szCs w:val="22"/>
              </w:rPr>
            </w:pPr>
            <w:r>
              <w:rPr>
                <w:rFonts w:hint="eastAsia" w:ascii="宋体" w:hAnsi="宋体" w:cs="Arial"/>
                <w:color w:val="000000"/>
                <w:kern w:val="0"/>
                <w:sz w:val="22"/>
                <w:szCs w:val="22"/>
              </w:rPr>
              <w:t>425.23</w:t>
            </w:r>
          </w:p>
        </w:tc>
        <w:tc>
          <w:tcPr>
            <w:tcW w:w="1134"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417"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b/>
                <w:bCs/>
                <w:color w:val="000000"/>
                <w:kern w:val="0"/>
                <w:sz w:val="22"/>
                <w:szCs w:val="22"/>
              </w:rPr>
            </w:pPr>
            <w:r>
              <w:rPr>
                <w:rFonts w:hint="eastAsia" w:ascii="宋体" w:hAnsi="宋体" w:cs="Arial"/>
                <w:b/>
                <w:bCs/>
                <w:color w:val="000000"/>
                <w:kern w:val="0"/>
                <w:sz w:val="22"/>
                <w:szCs w:val="22"/>
              </w:rPr>
              <w:t>208</w:t>
            </w:r>
          </w:p>
        </w:tc>
        <w:tc>
          <w:tcPr>
            <w:tcW w:w="2688"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社会保障和就业支出</w:t>
            </w:r>
          </w:p>
        </w:tc>
        <w:tc>
          <w:tcPr>
            <w:tcW w:w="1560"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1,769.45</w:t>
            </w:r>
          </w:p>
        </w:tc>
        <w:tc>
          <w:tcPr>
            <w:tcW w:w="1559"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1,296.19</w:t>
            </w:r>
          </w:p>
        </w:tc>
        <w:tc>
          <w:tcPr>
            <w:tcW w:w="1134"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417"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473.26</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b/>
                <w:bCs/>
                <w:color w:val="000000"/>
                <w:kern w:val="0"/>
                <w:sz w:val="22"/>
                <w:szCs w:val="22"/>
              </w:rPr>
            </w:pPr>
            <w:r>
              <w:rPr>
                <w:rFonts w:hint="eastAsia" w:ascii="宋体" w:hAnsi="宋体" w:cs="Arial"/>
                <w:b/>
                <w:bCs/>
                <w:color w:val="000000"/>
                <w:kern w:val="0"/>
                <w:sz w:val="22"/>
                <w:szCs w:val="22"/>
              </w:rPr>
              <w:t>20805</w:t>
            </w:r>
          </w:p>
        </w:tc>
        <w:tc>
          <w:tcPr>
            <w:tcW w:w="2688"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行政事业单位养老支出</w:t>
            </w:r>
          </w:p>
        </w:tc>
        <w:tc>
          <w:tcPr>
            <w:tcW w:w="1560"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1,559.96</w:t>
            </w:r>
          </w:p>
        </w:tc>
        <w:tc>
          <w:tcPr>
            <w:tcW w:w="1559"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1,086.70</w:t>
            </w:r>
          </w:p>
        </w:tc>
        <w:tc>
          <w:tcPr>
            <w:tcW w:w="1134"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417"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473.26</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color w:val="000000"/>
                <w:kern w:val="0"/>
                <w:sz w:val="22"/>
                <w:szCs w:val="22"/>
              </w:rPr>
            </w:pPr>
            <w:r>
              <w:rPr>
                <w:rFonts w:hint="eastAsia" w:ascii="宋体" w:hAnsi="宋体" w:cs="Arial"/>
                <w:color w:val="000000"/>
                <w:kern w:val="0"/>
                <w:sz w:val="22"/>
                <w:szCs w:val="22"/>
              </w:rPr>
              <w:t>2080505</w:t>
            </w:r>
          </w:p>
        </w:tc>
        <w:tc>
          <w:tcPr>
            <w:tcW w:w="2688" w:type="dxa"/>
            <w:noWrap/>
          </w:tcPr>
          <w:p>
            <w:pPr>
              <w:rPr>
                <w:rFonts w:ascii="宋体" w:hAnsi="宋体" w:cs="Arial"/>
                <w:color w:val="000000"/>
                <w:kern w:val="0"/>
                <w:sz w:val="22"/>
                <w:szCs w:val="22"/>
              </w:rPr>
            </w:pPr>
            <w:r>
              <w:rPr>
                <w:rFonts w:hint="eastAsia" w:ascii="宋体" w:hAnsi="宋体" w:cs="Arial"/>
                <w:color w:val="000000"/>
                <w:kern w:val="0"/>
                <w:sz w:val="22"/>
                <w:szCs w:val="22"/>
              </w:rPr>
              <w:t xml:space="preserve">  机关事业单位基本养老保险缴费支出</w:t>
            </w:r>
          </w:p>
        </w:tc>
        <w:tc>
          <w:tcPr>
            <w:tcW w:w="1560" w:type="dxa"/>
            <w:noWrap/>
          </w:tcPr>
          <w:p>
            <w:pPr>
              <w:rPr>
                <w:rFonts w:ascii="宋体" w:hAnsi="宋体" w:cs="Arial"/>
                <w:color w:val="000000"/>
                <w:kern w:val="0"/>
                <w:sz w:val="22"/>
                <w:szCs w:val="22"/>
              </w:rPr>
            </w:pPr>
            <w:r>
              <w:rPr>
                <w:rFonts w:hint="eastAsia" w:ascii="宋体" w:hAnsi="宋体" w:cs="Arial"/>
                <w:color w:val="000000"/>
                <w:kern w:val="0"/>
                <w:sz w:val="22"/>
                <w:szCs w:val="22"/>
              </w:rPr>
              <w:t>1,039.97</w:t>
            </w:r>
          </w:p>
        </w:tc>
        <w:tc>
          <w:tcPr>
            <w:tcW w:w="1559" w:type="dxa"/>
            <w:noWrap/>
          </w:tcPr>
          <w:p>
            <w:pPr>
              <w:rPr>
                <w:rFonts w:ascii="宋体" w:hAnsi="宋体" w:cs="Arial"/>
                <w:color w:val="000000"/>
                <w:kern w:val="0"/>
                <w:sz w:val="22"/>
                <w:szCs w:val="22"/>
              </w:rPr>
            </w:pPr>
            <w:r>
              <w:rPr>
                <w:rFonts w:hint="eastAsia" w:ascii="宋体" w:hAnsi="宋体" w:cs="Arial"/>
                <w:color w:val="000000"/>
                <w:kern w:val="0"/>
                <w:sz w:val="22"/>
                <w:szCs w:val="22"/>
              </w:rPr>
              <w:t>1,039.97</w:t>
            </w:r>
          </w:p>
        </w:tc>
        <w:tc>
          <w:tcPr>
            <w:tcW w:w="1134"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417"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color w:val="000000"/>
                <w:kern w:val="0"/>
                <w:sz w:val="22"/>
                <w:szCs w:val="22"/>
              </w:rPr>
            </w:pPr>
            <w:r>
              <w:rPr>
                <w:rFonts w:hint="eastAsia" w:ascii="宋体" w:hAnsi="宋体" w:cs="Arial"/>
                <w:color w:val="000000"/>
                <w:kern w:val="0"/>
                <w:sz w:val="22"/>
                <w:szCs w:val="22"/>
              </w:rPr>
              <w:t>2080506</w:t>
            </w:r>
          </w:p>
        </w:tc>
        <w:tc>
          <w:tcPr>
            <w:tcW w:w="2688" w:type="dxa"/>
            <w:noWrap/>
          </w:tcPr>
          <w:p>
            <w:pPr>
              <w:rPr>
                <w:rFonts w:ascii="宋体" w:hAnsi="宋体" w:cs="Arial"/>
                <w:color w:val="000000"/>
                <w:kern w:val="0"/>
                <w:sz w:val="22"/>
                <w:szCs w:val="22"/>
              </w:rPr>
            </w:pPr>
            <w:r>
              <w:rPr>
                <w:rFonts w:hint="eastAsia" w:ascii="宋体" w:hAnsi="宋体" w:cs="Arial"/>
                <w:color w:val="000000"/>
                <w:kern w:val="0"/>
                <w:sz w:val="22"/>
                <w:szCs w:val="22"/>
              </w:rPr>
              <w:t xml:space="preserve">  机关事业单位职业年金缴费支出</w:t>
            </w:r>
          </w:p>
        </w:tc>
        <w:tc>
          <w:tcPr>
            <w:tcW w:w="1560" w:type="dxa"/>
            <w:noWrap/>
          </w:tcPr>
          <w:p>
            <w:pPr>
              <w:rPr>
                <w:rFonts w:ascii="宋体" w:hAnsi="宋体" w:cs="Arial"/>
                <w:color w:val="000000"/>
                <w:kern w:val="0"/>
                <w:sz w:val="22"/>
                <w:szCs w:val="22"/>
              </w:rPr>
            </w:pPr>
            <w:r>
              <w:rPr>
                <w:rFonts w:hint="eastAsia" w:ascii="宋体" w:hAnsi="宋体" w:cs="Arial"/>
                <w:color w:val="000000"/>
                <w:kern w:val="0"/>
                <w:sz w:val="22"/>
                <w:szCs w:val="22"/>
              </w:rPr>
              <w:t>519.99</w:t>
            </w:r>
          </w:p>
        </w:tc>
        <w:tc>
          <w:tcPr>
            <w:tcW w:w="1559" w:type="dxa"/>
            <w:noWrap/>
          </w:tcPr>
          <w:p>
            <w:pPr>
              <w:rPr>
                <w:rFonts w:ascii="宋体" w:hAnsi="宋体" w:cs="Arial"/>
                <w:color w:val="000000"/>
                <w:kern w:val="0"/>
                <w:sz w:val="22"/>
                <w:szCs w:val="22"/>
              </w:rPr>
            </w:pPr>
            <w:r>
              <w:rPr>
                <w:rFonts w:hint="eastAsia" w:ascii="宋体" w:hAnsi="宋体" w:cs="Arial"/>
                <w:color w:val="000000"/>
                <w:kern w:val="0"/>
                <w:sz w:val="22"/>
                <w:szCs w:val="22"/>
              </w:rPr>
              <w:t>46.73</w:t>
            </w:r>
          </w:p>
        </w:tc>
        <w:tc>
          <w:tcPr>
            <w:tcW w:w="1134"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417" w:type="dxa"/>
            <w:noWrap/>
          </w:tcPr>
          <w:p>
            <w:pPr>
              <w:rPr>
                <w:rFonts w:ascii="宋体" w:hAnsi="宋体" w:cs="Arial"/>
                <w:color w:val="000000"/>
                <w:kern w:val="0"/>
                <w:sz w:val="22"/>
                <w:szCs w:val="22"/>
              </w:rPr>
            </w:pPr>
            <w:r>
              <w:rPr>
                <w:rFonts w:hint="eastAsia" w:ascii="宋体" w:hAnsi="宋体" w:cs="Arial"/>
                <w:color w:val="000000"/>
                <w:kern w:val="0"/>
                <w:sz w:val="22"/>
                <w:szCs w:val="22"/>
              </w:rPr>
              <w:t>473.26</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b/>
                <w:bCs/>
                <w:color w:val="000000"/>
                <w:kern w:val="0"/>
                <w:sz w:val="22"/>
                <w:szCs w:val="22"/>
              </w:rPr>
            </w:pPr>
            <w:r>
              <w:rPr>
                <w:rFonts w:hint="eastAsia" w:ascii="宋体" w:hAnsi="宋体" w:cs="Arial"/>
                <w:b/>
                <w:bCs/>
                <w:color w:val="000000"/>
                <w:kern w:val="0"/>
                <w:sz w:val="22"/>
                <w:szCs w:val="22"/>
              </w:rPr>
              <w:t>20808</w:t>
            </w:r>
          </w:p>
        </w:tc>
        <w:tc>
          <w:tcPr>
            <w:tcW w:w="2688"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抚恤</w:t>
            </w:r>
          </w:p>
        </w:tc>
        <w:tc>
          <w:tcPr>
            <w:tcW w:w="1560"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196.80</w:t>
            </w:r>
          </w:p>
        </w:tc>
        <w:tc>
          <w:tcPr>
            <w:tcW w:w="1559"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196.80</w:t>
            </w:r>
          </w:p>
        </w:tc>
        <w:tc>
          <w:tcPr>
            <w:tcW w:w="1134"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417"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color w:val="000000"/>
                <w:kern w:val="0"/>
                <w:sz w:val="22"/>
                <w:szCs w:val="22"/>
              </w:rPr>
            </w:pPr>
            <w:r>
              <w:rPr>
                <w:rFonts w:hint="eastAsia" w:ascii="宋体" w:hAnsi="宋体" w:cs="Arial"/>
                <w:color w:val="000000"/>
                <w:kern w:val="0"/>
                <w:sz w:val="22"/>
                <w:szCs w:val="22"/>
              </w:rPr>
              <w:t>2080801</w:t>
            </w:r>
          </w:p>
        </w:tc>
        <w:tc>
          <w:tcPr>
            <w:tcW w:w="2688" w:type="dxa"/>
            <w:noWrap/>
          </w:tcPr>
          <w:p>
            <w:pPr>
              <w:rPr>
                <w:rFonts w:ascii="宋体" w:hAnsi="宋体" w:cs="Arial"/>
                <w:color w:val="000000"/>
                <w:kern w:val="0"/>
                <w:sz w:val="22"/>
                <w:szCs w:val="22"/>
              </w:rPr>
            </w:pPr>
            <w:r>
              <w:rPr>
                <w:rFonts w:hint="eastAsia" w:ascii="宋体" w:hAnsi="宋体" w:cs="Arial"/>
                <w:color w:val="000000"/>
                <w:kern w:val="0"/>
                <w:sz w:val="22"/>
                <w:szCs w:val="22"/>
              </w:rPr>
              <w:t xml:space="preserve">  死亡抚恤</w:t>
            </w:r>
          </w:p>
        </w:tc>
        <w:tc>
          <w:tcPr>
            <w:tcW w:w="1560" w:type="dxa"/>
            <w:noWrap/>
          </w:tcPr>
          <w:p>
            <w:pPr>
              <w:rPr>
                <w:rFonts w:ascii="宋体" w:hAnsi="宋体" w:cs="Arial"/>
                <w:color w:val="000000"/>
                <w:kern w:val="0"/>
                <w:sz w:val="22"/>
                <w:szCs w:val="22"/>
              </w:rPr>
            </w:pPr>
            <w:r>
              <w:rPr>
                <w:rFonts w:hint="eastAsia" w:ascii="宋体" w:hAnsi="宋体" w:cs="Arial"/>
                <w:color w:val="000000"/>
                <w:kern w:val="0"/>
                <w:sz w:val="22"/>
                <w:szCs w:val="22"/>
              </w:rPr>
              <w:t>196.80</w:t>
            </w:r>
          </w:p>
        </w:tc>
        <w:tc>
          <w:tcPr>
            <w:tcW w:w="1559" w:type="dxa"/>
            <w:noWrap/>
          </w:tcPr>
          <w:p>
            <w:pPr>
              <w:rPr>
                <w:rFonts w:ascii="宋体" w:hAnsi="宋体" w:cs="Arial"/>
                <w:color w:val="000000"/>
                <w:kern w:val="0"/>
                <w:sz w:val="22"/>
                <w:szCs w:val="22"/>
              </w:rPr>
            </w:pPr>
            <w:r>
              <w:rPr>
                <w:rFonts w:hint="eastAsia" w:ascii="宋体" w:hAnsi="宋体" w:cs="Arial"/>
                <w:color w:val="000000"/>
                <w:kern w:val="0"/>
                <w:sz w:val="22"/>
                <w:szCs w:val="22"/>
              </w:rPr>
              <w:t>196.80</w:t>
            </w:r>
          </w:p>
        </w:tc>
        <w:tc>
          <w:tcPr>
            <w:tcW w:w="1134"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417"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b/>
                <w:bCs/>
                <w:color w:val="000000"/>
                <w:kern w:val="0"/>
                <w:sz w:val="22"/>
                <w:szCs w:val="22"/>
              </w:rPr>
            </w:pPr>
            <w:r>
              <w:rPr>
                <w:rFonts w:hint="eastAsia" w:ascii="宋体" w:hAnsi="宋体" w:cs="Arial"/>
                <w:b/>
                <w:bCs/>
                <w:color w:val="000000"/>
                <w:kern w:val="0"/>
                <w:sz w:val="22"/>
                <w:szCs w:val="22"/>
              </w:rPr>
              <w:t>20899</w:t>
            </w:r>
          </w:p>
        </w:tc>
        <w:tc>
          <w:tcPr>
            <w:tcW w:w="2688"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其他社会保障和就业支出</w:t>
            </w:r>
          </w:p>
        </w:tc>
        <w:tc>
          <w:tcPr>
            <w:tcW w:w="1560"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12.68</w:t>
            </w:r>
          </w:p>
        </w:tc>
        <w:tc>
          <w:tcPr>
            <w:tcW w:w="1559"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12.68</w:t>
            </w:r>
          </w:p>
        </w:tc>
        <w:tc>
          <w:tcPr>
            <w:tcW w:w="1134"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417"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color w:val="000000"/>
                <w:kern w:val="0"/>
                <w:sz w:val="22"/>
                <w:szCs w:val="22"/>
              </w:rPr>
            </w:pPr>
            <w:r>
              <w:rPr>
                <w:rFonts w:hint="eastAsia" w:ascii="宋体" w:hAnsi="宋体" w:cs="Arial"/>
                <w:color w:val="000000"/>
                <w:kern w:val="0"/>
                <w:sz w:val="22"/>
                <w:szCs w:val="22"/>
              </w:rPr>
              <w:t>2089999</w:t>
            </w:r>
          </w:p>
        </w:tc>
        <w:tc>
          <w:tcPr>
            <w:tcW w:w="2688" w:type="dxa"/>
            <w:noWrap/>
          </w:tcPr>
          <w:p>
            <w:pPr>
              <w:rPr>
                <w:rFonts w:ascii="宋体" w:hAnsi="宋体" w:cs="Arial"/>
                <w:color w:val="000000"/>
                <w:kern w:val="0"/>
                <w:sz w:val="22"/>
                <w:szCs w:val="22"/>
              </w:rPr>
            </w:pPr>
            <w:r>
              <w:rPr>
                <w:rFonts w:hint="eastAsia" w:ascii="宋体" w:hAnsi="宋体" w:cs="Arial"/>
                <w:color w:val="000000"/>
                <w:kern w:val="0"/>
                <w:sz w:val="22"/>
                <w:szCs w:val="22"/>
              </w:rPr>
              <w:t xml:space="preserve">  其他社会保障和就业支出</w:t>
            </w:r>
          </w:p>
        </w:tc>
        <w:tc>
          <w:tcPr>
            <w:tcW w:w="1560" w:type="dxa"/>
            <w:noWrap/>
          </w:tcPr>
          <w:p>
            <w:pPr>
              <w:rPr>
                <w:rFonts w:ascii="宋体" w:hAnsi="宋体" w:cs="Arial"/>
                <w:color w:val="000000"/>
                <w:kern w:val="0"/>
                <w:sz w:val="22"/>
                <w:szCs w:val="22"/>
              </w:rPr>
            </w:pPr>
            <w:r>
              <w:rPr>
                <w:rFonts w:hint="eastAsia" w:ascii="宋体" w:hAnsi="宋体" w:cs="Arial"/>
                <w:color w:val="000000"/>
                <w:kern w:val="0"/>
                <w:sz w:val="22"/>
                <w:szCs w:val="22"/>
              </w:rPr>
              <w:t>12.68</w:t>
            </w:r>
          </w:p>
        </w:tc>
        <w:tc>
          <w:tcPr>
            <w:tcW w:w="1559" w:type="dxa"/>
            <w:noWrap/>
          </w:tcPr>
          <w:p>
            <w:pPr>
              <w:rPr>
                <w:rFonts w:ascii="宋体" w:hAnsi="宋体" w:cs="Arial"/>
                <w:color w:val="000000"/>
                <w:kern w:val="0"/>
                <w:sz w:val="22"/>
                <w:szCs w:val="22"/>
              </w:rPr>
            </w:pPr>
            <w:r>
              <w:rPr>
                <w:rFonts w:hint="eastAsia" w:ascii="宋体" w:hAnsi="宋体" w:cs="Arial"/>
                <w:color w:val="000000"/>
                <w:kern w:val="0"/>
                <w:sz w:val="22"/>
                <w:szCs w:val="22"/>
              </w:rPr>
              <w:t>12.68</w:t>
            </w:r>
          </w:p>
        </w:tc>
        <w:tc>
          <w:tcPr>
            <w:tcW w:w="1134"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417"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b/>
                <w:bCs/>
                <w:color w:val="000000"/>
                <w:kern w:val="0"/>
                <w:sz w:val="22"/>
                <w:szCs w:val="22"/>
              </w:rPr>
            </w:pPr>
            <w:r>
              <w:rPr>
                <w:rFonts w:hint="eastAsia" w:ascii="宋体" w:hAnsi="宋体" w:cs="Arial"/>
                <w:b/>
                <w:bCs/>
                <w:color w:val="000000"/>
                <w:kern w:val="0"/>
                <w:sz w:val="22"/>
                <w:szCs w:val="22"/>
              </w:rPr>
              <w:t>210</w:t>
            </w:r>
          </w:p>
        </w:tc>
        <w:tc>
          <w:tcPr>
            <w:tcW w:w="2688"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卫生健康支出</w:t>
            </w:r>
          </w:p>
        </w:tc>
        <w:tc>
          <w:tcPr>
            <w:tcW w:w="1560"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480.98</w:t>
            </w:r>
          </w:p>
        </w:tc>
        <w:tc>
          <w:tcPr>
            <w:tcW w:w="1559"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480.98</w:t>
            </w:r>
          </w:p>
        </w:tc>
        <w:tc>
          <w:tcPr>
            <w:tcW w:w="1134"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417"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b/>
                <w:bCs/>
                <w:color w:val="000000"/>
                <w:kern w:val="0"/>
                <w:sz w:val="22"/>
                <w:szCs w:val="22"/>
              </w:rPr>
            </w:pPr>
            <w:r>
              <w:rPr>
                <w:rFonts w:hint="eastAsia" w:ascii="宋体" w:hAnsi="宋体" w:cs="Arial"/>
                <w:b/>
                <w:bCs/>
                <w:color w:val="000000"/>
                <w:kern w:val="0"/>
                <w:sz w:val="22"/>
                <w:szCs w:val="22"/>
              </w:rPr>
              <w:t>21011</w:t>
            </w:r>
          </w:p>
        </w:tc>
        <w:tc>
          <w:tcPr>
            <w:tcW w:w="2688"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行政事业单位医疗</w:t>
            </w:r>
          </w:p>
        </w:tc>
        <w:tc>
          <w:tcPr>
            <w:tcW w:w="1560"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480.98</w:t>
            </w:r>
          </w:p>
        </w:tc>
        <w:tc>
          <w:tcPr>
            <w:tcW w:w="1559"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480.98</w:t>
            </w:r>
          </w:p>
        </w:tc>
        <w:tc>
          <w:tcPr>
            <w:tcW w:w="1134"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417"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color w:val="000000"/>
                <w:kern w:val="0"/>
                <w:sz w:val="22"/>
                <w:szCs w:val="22"/>
              </w:rPr>
            </w:pPr>
            <w:r>
              <w:rPr>
                <w:rFonts w:hint="eastAsia" w:ascii="宋体" w:hAnsi="宋体" w:cs="Arial"/>
                <w:color w:val="000000"/>
                <w:kern w:val="0"/>
                <w:sz w:val="22"/>
                <w:szCs w:val="22"/>
              </w:rPr>
              <w:t>2101102</w:t>
            </w:r>
          </w:p>
        </w:tc>
        <w:tc>
          <w:tcPr>
            <w:tcW w:w="2688" w:type="dxa"/>
            <w:noWrap/>
          </w:tcPr>
          <w:p>
            <w:pPr>
              <w:rPr>
                <w:rFonts w:ascii="宋体" w:hAnsi="宋体" w:cs="Arial"/>
                <w:color w:val="000000"/>
                <w:kern w:val="0"/>
                <w:sz w:val="22"/>
                <w:szCs w:val="22"/>
              </w:rPr>
            </w:pPr>
            <w:r>
              <w:rPr>
                <w:rFonts w:hint="eastAsia" w:ascii="宋体" w:hAnsi="宋体" w:cs="Arial"/>
                <w:color w:val="000000"/>
                <w:kern w:val="0"/>
                <w:sz w:val="22"/>
                <w:szCs w:val="22"/>
              </w:rPr>
              <w:t xml:space="preserve">  事业单位医疗</w:t>
            </w:r>
          </w:p>
        </w:tc>
        <w:tc>
          <w:tcPr>
            <w:tcW w:w="1560" w:type="dxa"/>
            <w:noWrap/>
          </w:tcPr>
          <w:p>
            <w:pPr>
              <w:rPr>
                <w:rFonts w:ascii="宋体" w:hAnsi="宋体" w:cs="Arial"/>
                <w:color w:val="000000"/>
                <w:kern w:val="0"/>
                <w:sz w:val="22"/>
                <w:szCs w:val="22"/>
              </w:rPr>
            </w:pPr>
            <w:r>
              <w:rPr>
                <w:rFonts w:hint="eastAsia" w:ascii="宋体" w:hAnsi="宋体" w:cs="Arial"/>
                <w:color w:val="000000"/>
                <w:kern w:val="0"/>
                <w:sz w:val="22"/>
                <w:szCs w:val="22"/>
              </w:rPr>
              <w:t>480.98</w:t>
            </w:r>
          </w:p>
        </w:tc>
        <w:tc>
          <w:tcPr>
            <w:tcW w:w="1559" w:type="dxa"/>
            <w:noWrap/>
          </w:tcPr>
          <w:p>
            <w:pPr>
              <w:rPr>
                <w:rFonts w:ascii="宋体" w:hAnsi="宋体" w:cs="Arial"/>
                <w:color w:val="000000"/>
                <w:kern w:val="0"/>
                <w:sz w:val="22"/>
                <w:szCs w:val="22"/>
              </w:rPr>
            </w:pPr>
            <w:r>
              <w:rPr>
                <w:rFonts w:hint="eastAsia" w:ascii="宋体" w:hAnsi="宋体" w:cs="Arial"/>
                <w:color w:val="000000"/>
                <w:kern w:val="0"/>
                <w:sz w:val="22"/>
                <w:szCs w:val="22"/>
              </w:rPr>
              <w:t>480.98</w:t>
            </w:r>
          </w:p>
        </w:tc>
        <w:tc>
          <w:tcPr>
            <w:tcW w:w="1134"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417"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b/>
                <w:bCs/>
                <w:color w:val="000000"/>
                <w:kern w:val="0"/>
                <w:sz w:val="22"/>
                <w:szCs w:val="22"/>
              </w:rPr>
            </w:pPr>
            <w:r>
              <w:rPr>
                <w:rFonts w:hint="eastAsia" w:ascii="宋体" w:hAnsi="宋体" w:cs="Arial"/>
                <w:b/>
                <w:bCs/>
                <w:color w:val="000000"/>
                <w:kern w:val="0"/>
                <w:sz w:val="22"/>
                <w:szCs w:val="22"/>
              </w:rPr>
              <w:t>221</w:t>
            </w:r>
          </w:p>
        </w:tc>
        <w:tc>
          <w:tcPr>
            <w:tcW w:w="2688"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住房保障支出</w:t>
            </w:r>
          </w:p>
        </w:tc>
        <w:tc>
          <w:tcPr>
            <w:tcW w:w="1560"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767.66</w:t>
            </w:r>
          </w:p>
        </w:tc>
        <w:tc>
          <w:tcPr>
            <w:tcW w:w="1559"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767.66</w:t>
            </w:r>
          </w:p>
        </w:tc>
        <w:tc>
          <w:tcPr>
            <w:tcW w:w="1134"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417"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b/>
                <w:bCs/>
                <w:color w:val="000000"/>
                <w:kern w:val="0"/>
                <w:sz w:val="22"/>
                <w:szCs w:val="22"/>
              </w:rPr>
            </w:pPr>
            <w:r>
              <w:rPr>
                <w:rFonts w:hint="eastAsia" w:ascii="宋体" w:hAnsi="宋体" w:cs="Arial"/>
                <w:b/>
                <w:bCs/>
                <w:color w:val="000000"/>
                <w:kern w:val="0"/>
                <w:sz w:val="22"/>
                <w:szCs w:val="22"/>
              </w:rPr>
              <w:t>22102</w:t>
            </w:r>
          </w:p>
        </w:tc>
        <w:tc>
          <w:tcPr>
            <w:tcW w:w="2688"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住房改革支出</w:t>
            </w:r>
          </w:p>
        </w:tc>
        <w:tc>
          <w:tcPr>
            <w:tcW w:w="1560"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767.66</w:t>
            </w:r>
          </w:p>
        </w:tc>
        <w:tc>
          <w:tcPr>
            <w:tcW w:w="1559"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767.66</w:t>
            </w:r>
          </w:p>
        </w:tc>
        <w:tc>
          <w:tcPr>
            <w:tcW w:w="1134"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417"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color w:val="000000"/>
                <w:kern w:val="0"/>
                <w:sz w:val="22"/>
                <w:szCs w:val="22"/>
              </w:rPr>
            </w:pPr>
            <w:r>
              <w:rPr>
                <w:rFonts w:hint="eastAsia" w:ascii="宋体" w:hAnsi="宋体" w:cs="Arial"/>
                <w:color w:val="000000"/>
                <w:kern w:val="0"/>
                <w:sz w:val="22"/>
                <w:szCs w:val="22"/>
              </w:rPr>
              <w:t>2210201</w:t>
            </w:r>
          </w:p>
        </w:tc>
        <w:tc>
          <w:tcPr>
            <w:tcW w:w="2688" w:type="dxa"/>
            <w:noWrap/>
          </w:tcPr>
          <w:p>
            <w:pPr>
              <w:rPr>
                <w:rFonts w:ascii="宋体" w:hAnsi="宋体" w:cs="Arial"/>
                <w:color w:val="000000"/>
                <w:kern w:val="0"/>
                <w:sz w:val="22"/>
                <w:szCs w:val="22"/>
              </w:rPr>
            </w:pPr>
            <w:r>
              <w:rPr>
                <w:rFonts w:hint="eastAsia" w:ascii="宋体" w:hAnsi="宋体" w:cs="Arial"/>
                <w:color w:val="000000"/>
                <w:kern w:val="0"/>
                <w:sz w:val="22"/>
                <w:szCs w:val="22"/>
              </w:rPr>
              <w:t xml:space="preserve">  住房公积金</w:t>
            </w:r>
          </w:p>
        </w:tc>
        <w:tc>
          <w:tcPr>
            <w:tcW w:w="1560" w:type="dxa"/>
            <w:noWrap/>
          </w:tcPr>
          <w:p>
            <w:pPr>
              <w:rPr>
                <w:rFonts w:ascii="宋体" w:hAnsi="宋体" w:cs="Arial"/>
                <w:color w:val="000000"/>
                <w:kern w:val="0"/>
                <w:sz w:val="22"/>
                <w:szCs w:val="22"/>
              </w:rPr>
            </w:pPr>
            <w:r>
              <w:rPr>
                <w:rFonts w:hint="eastAsia" w:ascii="宋体" w:hAnsi="宋体" w:cs="Arial"/>
                <w:color w:val="000000"/>
                <w:kern w:val="0"/>
                <w:sz w:val="22"/>
                <w:szCs w:val="22"/>
              </w:rPr>
              <w:t>767.66</w:t>
            </w:r>
          </w:p>
        </w:tc>
        <w:tc>
          <w:tcPr>
            <w:tcW w:w="1559" w:type="dxa"/>
            <w:noWrap/>
          </w:tcPr>
          <w:p>
            <w:pPr>
              <w:rPr>
                <w:rFonts w:ascii="宋体" w:hAnsi="宋体" w:cs="Arial"/>
                <w:color w:val="000000"/>
                <w:kern w:val="0"/>
                <w:sz w:val="22"/>
                <w:szCs w:val="22"/>
              </w:rPr>
            </w:pPr>
            <w:r>
              <w:rPr>
                <w:rFonts w:hint="eastAsia" w:ascii="宋体" w:hAnsi="宋体" w:cs="Arial"/>
                <w:color w:val="000000"/>
                <w:kern w:val="0"/>
                <w:sz w:val="22"/>
                <w:szCs w:val="22"/>
              </w:rPr>
              <w:t>767.66</w:t>
            </w:r>
          </w:p>
        </w:tc>
        <w:tc>
          <w:tcPr>
            <w:tcW w:w="1134"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417"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b/>
                <w:bCs/>
                <w:color w:val="000000"/>
                <w:kern w:val="0"/>
                <w:sz w:val="22"/>
                <w:szCs w:val="22"/>
              </w:rPr>
            </w:pPr>
            <w:r>
              <w:rPr>
                <w:rFonts w:hint="eastAsia" w:ascii="宋体" w:hAnsi="宋体" w:cs="Arial"/>
                <w:b/>
                <w:bCs/>
                <w:color w:val="000000"/>
                <w:kern w:val="0"/>
                <w:sz w:val="22"/>
                <w:szCs w:val="22"/>
              </w:rPr>
              <w:t>229</w:t>
            </w:r>
          </w:p>
        </w:tc>
        <w:tc>
          <w:tcPr>
            <w:tcW w:w="2688"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其他支出</w:t>
            </w:r>
          </w:p>
        </w:tc>
        <w:tc>
          <w:tcPr>
            <w:tcW w:w="1560"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36,484.49</w:t>
            </w:r>
          </w:p>
        </w:tc>
        <w:tc>
          <w:tcPr>
            <w:tcW w:w="1559"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36,484.49</w:t>
            </w:r>
          </w:p>
        </w:tc>
        <w:tc>
          <w:tcPr>
            <w:tcW w:w="1134"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417"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b/>
                <w:bCs/>
                <w:color w:val="000000"/>
                <w:kern w:val="0"/>
                <w:sz w:val="22"/>
                <w:szCs w:val="22"/>
              </w:rPr>
            </w:pPr>
            <w:r>
              <w:rPr>
                <w:rFonts w:hint="eastAsia" w:ascii="宋体" w:hAnsi="宋体" w:cs="Arial"/>
                <w:b/>
                <w:bCs/>
                <w:color w:val="000000"/>
                <w:kern w:val="0"/>
                <w:sz w:val="22"/>
                <w:szCs w:val="22"/>
              </w:rPr>
              <w:t>22904</w:t>
            </w:r>
          </w:p>
        </w:tc>
        <w:tc>
          <w:tcPr>
            <w:tcW w:w="2688"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其他政府性基金及对应专项债务收入安排的支出</w:t>
            </w:r>
          </w:p>
        </w:tc>
        <w:tc>
          <w:tcPr>
            <w:tcW w:w="1560"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36,484.49</w:t>
            </w:r>
          </w:p>
        </w:tc>
        <w:tc>
          <w:tcPr>
            <w:tcW w:w="1559"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36,484.49</w:t>
            </w:r>
          </w:p>
        </w:tc>
        <w:tc>
          <w:tcPr>
            <w:tcW w:w="1134"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417"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c>
          <w:tcPr>
            <w:tcW w:w="1276" w:type="dxa"/>
            <w:noWrap/>
          </w:tcPr>
          <w:p>
            <w:pPr>
              <w:rPr>
                <w:rFonts w:ascii="宋体" w:hAnsi="宋体" w:cs="Arial"/>
                <w:b/>
                <w:bCs/>
                <w:color w:val="000000"/>
                <w:kern w:val="0"/>
                <w:sz w:val="22"/>
                <w:szCs w:val="22"/>
              </w:rPr>
            </w:pPr>
            <w:r>
              <w:rPr>
                <w:rFonts w:hint="eastAsia" w:ascii="宋体" w:hAnsi="宋体" w:cs="Arial"/>
                <w:b/>
                <w:bCs/>
                <w:color w:val="000000"/>
                <w:kern w:val="0"/>
                <w:sz w:val="22"/>
                <w:szCs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6" w:type="dxa"/>
            <w:gridSpan w:val="3"/>
            <w:noWrap/>
          </w:tcPr>
          <w:p>
            <w:pPr>
              <w:rPr>
                <w:rFonts w:ascii="宋体" w:hAnsi="宋体" w:cs="Arial"/>
                <w:color w:val="000000"/>
                <w:kern w:val="0"/>
                <w:sz w:val="22"/>
                <w:szCs w:val="22"/>
              </w:rPr>
            </w:pPr>
            <w:r>
              <w:rPr>
                <w:rFonts w:hint="eastAsia" w:ascii="宋体" w:hAnsi="宋体" w:cs="Arial"/>
                <w:color w:val="000000"/>
                <w:kern w:val="0"/>
                <w:sz w:val="22"/>
                <w:szCs w:val="22"/>
              </w:rPr>
              <w:t>2290402</w:t>
            </w:r>
          </w:p>
        </w:tc>
        <w:tc>
          <w:tcPr>
            <w:tcW w:w="2688" w:type="dxa"/>
            <w:noWrap/>
          </w:tcPr>
          <w:p>
            <w:pPr>
              <w:rPr>
                <w:rFonts w:ascii="宋体" w:hAnsi="宋体" w:cs="Arial"/>
                <w:color w:val="000000"/>
                <w:kern w:val="0"/>
                <w:sz w:val="22"/>
                <w:szCs w:val="22"/>
              </w:rPr>
            </w:pPr>
            <w:r>
              <w:rPr>
                <w:rFonts w:hint="eastAsia" w:ascii="宋体" w:hAnsi="宋体" w:cs="Arial"/>
                <w:color w:val="000000"/>
                <w:kern w:val="0"/>
                <w:sz w:val="22"/>
                <w:szCs w:val="22"/>
              </w:rPr>
              <w:t xml:space="preserve">  其他地方自行试点项目收益专项债券收入安排的支出</w:t>
            </w:r>
          </w:p>
        </w:tc>
        <w:tc>
          <w:tcPr>
            <w:tcW w:w="1560" w:type="dxa"/>
            <w:noWrap/>
          </w:tcPr>
          <w:p>
            <w:pPr>
              <w:rPr>
                <w:rFonts w:ascii="宋体" w:hAnsi="宋体" w:cs="Arial"/>
                <w:color w:val="000000"/>
                <w:kern w:val="0"/>
                <w:sz w:val="22"/>
                <w:szCs w:val="22"/>
              </w:rPr>
            </w:pPr>
            <w:r>
              <w:rPr>
                <w:rFonts w:hint="eastAsia" w:ascii="宋体" w:hAnsi="宋体" w:cs="Arial"/>
                <w:color w:val="000000"/>
                <w:kern w:val="0"/>
                <w:sz w:val="22"/>
                <w:szCs w:val="22"/>
              </w:rPr>
              <w:t>36,484.49</w:t>
            </w:r>
          </w:p>
        </w:tc>
        <w:tc>
          <w:tcPr>
            <w:tcW w:w="1559" w:type="dxa"/>
            <w:noWrap/>
          </w:tcPr>
          <w:p>
            <w:pPr>
              <w:rPr>
                <w:rFonts w:ascii="宋体" w:hAnsi="宋体" w:cs="Arial"/>
                <w:color w:val="000000"/>
                <w:kern w:val="0"/>
                <w:sz w:val="22"/>
                <w:szCs w:val="22"/>
              </w:rPr>
            </w:pPr>
            <w:r>
              <w:rPr>
                <w:rFonts w:hint="eastAsia" w:ascii="宋体" w:hAnsi="宋体" w:cs="Arial"/>
                <w:color w:val="000000"/>
                <w:kern w:val="0"/>
                <w:sz w:val="22"/>
                <w:szCs w:val="22"/>
              </w:rPr>
              <w:t>36,484.49</w:t>
            </w:r>
          </w:p>
        </w:tc>
        <w:tc>
          <w:tcPr>
            <w:tcW w:w="1134"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417"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c>
          <w:tcPr>
            <w:tcW w:w="1276" w:type="dxa"/>
            <w:noWrap/>
          </w:tcPr>
          <w:p>
            <w:pPr>
              <w:rPr>
                <w:rFonts w:ascii="宋体" w:hAnsi="宋体" w:cs="Arial"/>
                <w:color w:val="000000"/>
                <w:kern w:val="0"/>
                <w:sz w:val="22"/>
                <w:szCs w:val="22"/>
              </w:rPr>
            </w:pPr>
            <w:r>
              <w:rPr>
                <w:rFonts w:hint="eastAsia" w:ascii="宋体" w:hAnsi="宋体" w:cs="Arial"/>
                <w:color w:val="000000"/>
                <w:kern w:val="0"/>
                <w:sz w:val="22"/>
                <w:szCs w:val="22"/>
              </w:rPr>
              <w:t>0.00</w:t>
            </w:r>
          </w:p>
        </w:tc>
      </w:tr>
    </w:tbl>
    <w:p>
      <w:pPr>
        <w:rPr>
          <w:rFonts w:ascii="黑体" w:hAnsi="黑体" w:eastAsia="黑体"/>
          <w:szCs w:val="21"/>
        </w:rPr>
      </w:pPr>
      <w:r>
        <w:rPr>
          <w:rFonts w:ascii="黑体" w:hAnsi="黑体" w:eastAsia="黑体"/>
          <w:szCs w:val="21"/>
        </w:rPr>
        <w:t xml:space="preserve"> </w:t>
      </w:r>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p>
    <w:p>
      <w:pPr>
        <w:jc w:val="center"/>
        <w:rPr>
          <w:rFonts w:hint="eastAsia"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表三：支出决算表</w:t>
      </w:r>
    </w:p>
    <w:p>
      <w:pPr>
        <w:spacing w:line="560" w:lineRule="exact"/>
        <w:jc w:val="right"/>
        <w:rPr>
          <w:rFonts w:ascii="黑体" w:hAnsi="黑体" w:eastAsia="黑体"/>
          <w:sz w:val="32"/>
          <w:szCs w:val="32"/>
        </w:rPr>
      </w:pPr>
      <w:r>
        <w:rPr>
          <w:rFonts w:hint="eastAsia"/>
          <w:sz w:val="22"/>
          <w:szCs w:val="22"/>
        </w:rPr>
        <w:t>单位：万元</w:t>
      </w:r>
    </w:p>
    <w:tbl>
      <w:tblPr>
        <w:tblStyle w:val="7"/>
        <w:tblW w:w="0" w:type="auto"/>
        <w:tblInd w:w="0" w:type="dxa"/>
        <w:tblLayout w:type="autofit"/>
        <w:tblCellMar>
          <w:top w:w="0" w:type="dxa"/>
          <w:left w:w="108" w:type="dxa"/>
          <w:bottom w:w="0" w:type="dxa"/>
          <w:right w:w="108" w:type="dxa"/>
        </w:tblCellMar>
      </w:tblPr>
      <w:tblGrid>
        <w:gridCol w:w="416"/>
        <w:gridCol w:w="416"/>
        <w:gridCol w:w="416"/>
        <w:gridCol w:w="3709"/>
        <w:gridCol w:w="1559"/>
        <w:gridCol w:w="1276"/>
        <w:gridCol w:w="1559"/>
        <w:gridCol w:w="1417"/>
        <w:gridCol w:w="1560"/>
        <w:gridCol w:w="1334"/>
      </w:tblGrid>
      <w:tr>
        <w:tblPrEx>
          <w:tblCellMar>
            <w:top w:w="0" w:type="dxa"/>
            <w:left w:w="108" w:type="dxa"/>
            <w:bottom w:w="0" w:type="dxa"/>
            <w:right w:w="108" w:type="dxa"/>
          </w:tblCellMar>
        </w:tblPrEx>
        <w:trPr>
          <w:trHeight w:val="312" w:hRule="atLeast"/>
        </w:trPr>
        <w:tc>
          <w:tcPr>
            <w:tcW w:w="0" w:type="auto"/>
            <w:gridSpan w:val="3"/>
            <w:vMerge w:val="restart"/>
            <w:tcBorders>
              <w:top w:val="nil"/>
              <w:left w:val="single" w:color="000000" w:sz="4" w:space="0"/>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科目编码</w:t>
            </w:r>
          </w:p>
        </w:tc>
        <w:tc>
          <w:tcPr>
            <w:tcW w:w="3709" w:type="dxa"/>
            <w:vMerge w:val="restart"/>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科目名称</w:t>
            </w:r>
          </w:p>
        </w:tc>
        <w:tc>
          <w:tcPr>
            <w:tcW w:w="1559"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本年支出合计</w:t>
            </w:r>
          </w:p>
        </w:tc>
        <w:tc>
          <w:tcPr>
            <w:tcW w:w="1276"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基本支出</w:t>
            </w:r>
          </w:p>
        </w:tc>
        <w:tc>
          <w:tcPr>
            <w:tcW w:w="1559"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项目支出</w:t>
            </w:r>
          </w:p>
        </w:tc>
        <w:tc>
          <w:tcPr>
            <w:tcW w:w="1417"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上缴上级支出</w:t>
            </w:r>
          </w:p>
        </w:tc>
        <w:tc>
          <w:tcPr>
            <w:tcW w:w="1560"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经营支出</w:t>
            </w:r>
          </w:p>
        </w:tc>
        <w:tc>
          <w:tcPr>
            <w:tcW w:w="1334"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对附属单位补助支出</w:t>
            </w:r>
          </w:p>
        </w:tc>
      </w:tr>
      <w:tr>
        <w:tblPrEx>
          <w:tblCellMar>
            <w:top w:w="0" w:type="dxa"/>
            <w:left w:w="108" w:type="dxa"/>
            <w:bottom w:w="0" w:type="dxa"/>
            <w:right w:w="108" w:type="dxa"/>
          </w:tblCellMar>
        </w:tblPrEx>
        <w:trPr>
          <w:trHeight w:val="312" w:hRule="atLeast"/>
        </w:trPr>
        <w:tc>
          <w:tcPr>
            <w:tcW w:w="0" w:type="auto"/>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709"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559"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276"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559"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417"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56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334"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r>
      <w:tr>
        <w:tblPrEx>
          <w:tblCellMar>
            <w:top w:w="0" w:type="dxa"/>
            <w:left w:w="108" w:type="dxa"/>
            <w:bottom w:w="0" w:type="dxa"/>
            <w:right w:w="108" w:type="dxa"/>
          </w:tblCellMar>
        </w:tblPrEx>
        <w:trPr>
          <w:trHeight w:val="312" w:hRule="atLeast"/>
        </w:trPr>
        <w:tc>
          <w:tcPr>
            <w:tcW w:w="0" w:type="auto"/>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709"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559"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276"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559"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417"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56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334"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r>
      <w:tr>
        <w:tblPrEx>
          <w:tblCellMar>
            <w:top w:w="0" w:type="dxa"/>
            <w:left w:w="108" w:type="dxa"/>
            <w:bottom w:w="0" w:type="dxa"/>
            <w:right w:w="108" w:type="dxa"/>
          </w:tblCellMar>
        </w:tblPrEx>
        <w:trPr>
          <w:trHeight w:val="312" w:hRule="atLeast"/>
        </w:trPr>
        <w:tc>
          <w:tcPr>
            <w:tcW w:w="0" w:type="auto"/>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709"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559"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276"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559"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417"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56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334"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r>
      <w:tr>
        <w:tblPrEx>
          <w:tblCellMar>
            <w:top w:w="0" w:type="dxa"/>
            <w:left w:w="108" w:type="dxa"/>
            <w:bottom w:w="0" w:type="dxa"/>
            <w:right w:w="108" w:type="dxa"/>
          </w:tblCellMar>
        </w:tblPrEx>
        <w:trPr>
          <w:trHeight w:val="300" w:hRule="atLeast"/>
        </w:trPr>
        <w:tc>
          <w:tcPr>
            <w:tcW w:w="0" w:type="auto"/>
            <w:vMerge w:val="restart"/>
            <w:tcBorders>
              <w:top w:val="nil"/>
              <w:left w:val="single" w:color="000000" w:sz="4" w:space="0"/>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类</w:t>
            </w:r>
          </w:p>
        </w:tc>
        <w:tc>
          <w:tcPr>
            <w:tcW w:w="0" w:type="auto"/>
            <w:vMerge w:val="restart"/>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款</w:t>
            </w:r>
          </w:p>
        </w:tc>
        <w:tc>
          <w:tcPr>
            <w:tcW w:w="0" w:type="auto"/>
            <w:vMerge w:val="restart"/>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项</w:t>
            </w: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栏次</w:t>
            </w:r>
          </w:p>
        </w:tc>
        <w:tc>
          <w:tcPr>
            <w:tcW w:w="1559" w:type="dxa"/>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1</w:t>
            </w:r>
          </w:p>
        </w:tc>
        <w:tc>
          <w:tcPr>
            <w:tcW w:w="1276" w:type="dxa"/>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2</w:t>
            </w:r>
          </w:p>
        </w:tc>
        <w:tc>
          <w:tcPr>
            <w:tcW w:w="1559" w:type="dxa"/>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3</w:t>
            </w:r>
          </w:p>
        </w:tc>
        <w:tc>
          <w:tcPr>
            <w:tcW w:w="1417" w:type="dxa"/>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4</w:t>
            </w:r>
          </w:p>
        </w:tc>
        <w:tc>
          <w:tcPr>
            <w:tcW w:w="1560" w:type="dxa"/>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5</w:t>
            </w:r>
          </w:p>
        </w:tc>
        <w:tc>
          <w:tcPr>
            <w:tcW w:w="1334" w:type="dxa"/>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6</w:t>
            </w:r>
          </w:p>
        </w:tc>
      </w:tr>
      <w:tr>
        <w:tblPrEx>
          <w:tblCellMar>
            <w:top w:w="0" w:type="dxa"/>
            <w:left w:w="108" w:type="dxa"/>
            <w:bottom w:w="0" w:type="dxa"/>
            <w:right w:w="108" w:type="dxa"/>
          </w:tblCellMar>
        </w:tblPrEx>
        <w:trPr>
          <w:trHeight w:val="300"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合计</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154,960.87</w:t>
            </w:r>
          </w:p>
        </w:tc>
        <w:tc>
          <w:tcPr>
            <w:tcW w:w="1276"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13,815.39</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134,752.99</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56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6,392.48</w:t>
            </w:r>
          </w:p>
        </w:tc>
        <w:tc>
          <w:tcPr>
            <w:tcW w:w="13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205</w:t>
            </w: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教育支出</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115,033.07</w:t>
            </w:r>
          </w:p>
        </w:tc>
        <w:tc>
          <w:tcPr>
            <w:tcW w:w="1276"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10,809.99</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97,830.60</w:t>
            </w:r>
          </w:p>
        </w:tc>
        <w:tc>
          <w:tcPr>
            <w:tcW w:w="1417"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56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6,392.48</w:t>
            </w:r>
          </w:p>
        </w:tc>
        <w:tc>
          <w:tcPr>
            <w:tcW w:w="133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20502</w:t>
            </w: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普通教育</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115,033.07</w:t>
            </w:r>
          </w:p>
        </w:tc>
        <w:tc>
          <w:tcPr>
            <w:tcW w:w="1276"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10,809.99</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97,830.60</w:t>
            </w:r>
          </w:p>
        </w:tc>
        <w:tc>
          <w:tcPr>
            <w:tcW w:w="1417"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56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6,392.48</w:t>
            </w:r>
          </w:p>
        </w:tc>
        <w:tc>
          <w:tcPr>
            <w:tcW w:w="133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2050202</w:t>
            </w:r>
          </w:p>
        </w:tc>
        <w:tc>
          <w:tcPr>
            <w:tcW w:w="3709"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小学教育</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915.30</w:t>
            </w:r>
          </w:p>
        </w:tc>
        <w:tc>
          <w:tcPr>
            <w:tcW w:w="1276"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809.52</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105.78</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56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3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2050205</w:t>
            </w:r>
          </w:p>
        </w:tc>
        <w:tc>
          <w:tcPr>
            <w:tcW w:w="3709"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高等教育</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114,117.77</w:t>
            </w:r>
          </w:p>
        </w:tc>
        <w:tc>
          <w:tcPr>
            <w:tcW w:w="1276"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10,000.47</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97,724.82</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56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6,392.48</w:t>
            </w:r>
          </w:p>
        </w:tc>
        <w:tc>
          <w:tcPr>
            <w:tcW w:w="13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206</w:t>
            </w: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科学技术支出</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425.23</w:t>
            </w:r>
          </w:p>
        </w:tc>
        <w:tc>
          <w:tcPr>
            <w:tcW w:w="1276"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425.23</w:t>
            </w:r>
          </w:p>
        </w:tc>
        <w:tc>
          <w:tcPr>
            <w:tcW w:w="1417"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56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33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20699</w:t>
            </w: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其他科学技术支出</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425.23</w:t>
            </w:r>
          </w:p>
        </w:tc>
        <w:tc>
          <w:tcPr>
            <w:tcW w:w="1276"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425.23</w:t>
            </w:r>
          </w:p>
        </w:tc>
        <w:tc>
          <w:tcPr>
            <w:tcW w:w="1417"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56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33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2069999</w:t>
            </w:r>
          </w:p>
        </w:tc>
        <w:tc>
          <w:tcPr>
            <w:tcW w:w="3709"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其他科学技术支出</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425.23</w:t>
            </w:r>
          </w:p>
        </w:tc>
        <w:tc>
          <w:tcPr>
            <w:tcW w:w="1276"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425.23</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56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3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208</w:t>
            </w: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社会保障和就业支出</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1,769.45</w:t>
            </w:r>
          </w:p>
        </w:tc>
        <w:tc>
          <w:tcPr>
            <w:tcW w:w="1276"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1,756.76</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12.68</w:t>
            </w:r>
          </w:p>
        </w:tc>
        <w:tc>
          <w:tcPr>
            <w:tcW w:w="1417"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56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33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20805</w:t>
            </w: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行政事业单位养老支出</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1,559.96</w:t>
            </w:r>
          </w:p>
        </w:tc>
        <w:tc>
          <w:tcPr>
            <w:tcW w:w="1276"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1,559.96</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417"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56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33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2080505</w:t>
            </w:r>
          </w:p>
        </w:tc>
        <w:tc>
          <w:tcPr>
            <w:tcW w:w="3709"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机关事业单位基本养老保险缴费支出</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1,039.97</w:t>
            </w:r>
          </w:p>
        </w:tc>
        <w:tc>
          <w:tcPr>
            <w:tcW w:w="1276"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1,039.97</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56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3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2080506</w:t>
            </w:r>
          </w:p>
        </w:tc>
        <w:tc>
          <w:tcPr>
            <w:tcW w:w="3709"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机关事业单位职业年金缴费支出</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519.99</w:t>
            </w:r>
          </w:p>
        </w:tc>
        <w:tc>
          <w:tcPr>
            <w:tcW w:w="1276"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519.99</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56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3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20808</w:t>
            </w: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抚恤</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196.80</w:t>
            </w:r>
          </w:p>
        </w:tc>
        <w:tc>
          <w:tcPr>
            <w:tcW w:w="1276"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196.80</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417"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56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33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2080801</w:t>
            </w:r>
          </w:p>
        </w:tc>
        <w:tc>
          <w:tcPr>
            <w:tcW w:w="3709"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死亡抚恤</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196.80</w:t>
            </w:r>
          </w:p>
        </w:tc>
        <w:tc>
          <w:tcPr>
            <w:tcW w:w="1276"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196.80</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56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3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20899</w:t>
            </w: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其他社会保障和就业支出</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12.68</w:t>
            </w:r>
          </w:p>
        </w:tc>
        <w:tc>
          <w:tcPr>
            <w:tcW w:w="1276"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12.68</w:t>
            </w:r>
          </w:p>
        </w:tc>
        <w:tc>
          <w:tcPr>
            <w:tcW w:w="1417"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56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33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2089999</w:t>
            </w:r>
          </w:p>
        </w:tc>
        <w:tc>
          <w:tcPr>
            <w:tcW w:w="3709"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其他社会保障和就业支出</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12.68</w:t>
            </w:r>
          </w:p>
        </w:tc>
        <w:tc>
          <w:tcPr>
            <w:tcW w:w="1276"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12.68</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56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3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210</w:t>
            </w: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卫生健康支出</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480.98</w:t>
            </w:r>
          </w:p>
        </w:tc>
        <w:tc>
          <w:tcPr>
            <w:tcW w:w="1276"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480.98</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417"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56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33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21011</w:t>
            </w: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行政事业单位医疗</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480.98</w:t>
            </w:r>
          </w:p>
        </w:tc>
        <w:tc>
          <w:tcPr>
            <w:tcW w:w="1276"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480.98</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417"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56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33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2101102</w:t>
            </w:r>
          </w:p>
        </w:tc>
        <w:tc>
          <w:tcPr>
            <w:tcW w:w="3709"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事业单位医疗</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480.98</w:t>
            </w:r>
          </w:p>
        </w:tc>
        <w:tc>
          <w:tcPr>
            <w:tcW w:w="1276"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480.98</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56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3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221</w:t>
            </w: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住房保障支出</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767.66</w:t>
            </w:r>
          </w:p>
        </w:tc>
        <w:tc>
          <w:tcPr>
            <w:tcW w:w="1276"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767.66</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417"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56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33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22102</w:t>
            </w: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住房改革支出</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767.66</w:t>
            </w:r>
          </w:p>
        </w:tc>
        <w:tc>
          <w:tcPr>
            <w:tcW w:w="1276"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767.66</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417"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56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33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2210201</w:t>
            </w:r>
          </w:p>
        </w:tc>
        <w:tc>
          <w:tcPr>
            <w:tcW w:w="3709"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住房公积金</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767.66</w:t>
            </w:r>
          </w:p>
        </w:tc>
        <w:tc>
          <w:tcPr>
            <w:tcW w:w="1276"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767.66</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56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3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229</w:t>
            </w: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14"/>
                <w:szCs w:val="14"/>
              </w:rPr>
            </w:pPr>
            <w:r>
              <w:rPr>
                <w:rFonts w:hint="eastAsia" w:ascii="宋体" w:hAnsi="宋体" w:cs="Arial"/>
                <w:b/>
                <w:bCs/>
                <w:kern w:val="0"/>
                <w:sz w:val="14"/>
                <w:szCs w:val="14"/>
              </w:rPr>
              <w:t>其他支出</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1276"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1417"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56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33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22904</w:t>
            </w:r>
          </w:p>
        </w:tc>
        <w:tc>
          <w:tcPr>
            <w:tcW w:w="3709"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14"/>
                <w:szCs w:val="14"/>
              </w:rPr>
            </w:pPr>
            <w:r>
              <w:rPr>
                <w:rFonts w:hint="eastAsia" w:ascii="宋体" w:hAnsi="宋体" w:cs="Arial"/>
                <w:b/>
                <w:bCs/>
                <w:kern w:val="0"/>
                <w:sz w:val="14"/>
                <w:szCs w:val="14"/>
              </w:rPr>
              <w:t>其他政府性基金及对应专项债务收入安排的支出</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1276"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559"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1417"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56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33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2290402</w:t>
            </w:r>
          </w:p>
        </w:tc>
        <w:tc>
          <w:tcPr>
            <w:tcW w:w="3709"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其他地方自行试点项目收益专项债券收入安排的支出</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36,484.49</w:t>
            </w:r>
          </w:p>
        </w:tc>
        <w:tc>
          <w:tcPr>
            <w:tcW w:w="1276"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559"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36,484.49</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56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3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bl>
    <w:p>
      <w:pPr>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表四：财政拨款收入支出决算表</w:t>
      </w:r>
    </w:p>
    <w:p>
      <w:pPr>
        <w:spacing w:line="560" w:lineRule="exact"/>
        <w:jc w:val="right"/>
        <w:rPr>
          <w:rFonts w:ascii="黑体" w:hAnsi="黑体" w:eastAsia="黑体"/>
          <w:sz w:val="32"/>
          <w:szCs w:val="32"/>
        </w:rPr>
      </w:pPr>
      <w:r>
        <w:rPr>
          <w:rFonts w:hint="eastAsia"/>
          <w:sz w:val="22"/>
          <w:szCs w:val="22"/>
        </w:rPr>
        <w:t>单位：万元</w:t>
      </w:r>
    </w:p>
    <w:tbl>
      <w:tblPr>
        <w:tblStyle w:val="7"/>
        <w:tblW w:w="0" w:type="auto"/>
        <w:tblInd w:w="0" w:type="dxa"/>
        <w:tblLayout w:type="autofit"/>
        <w:tblCellMar>
          <w:top w:w="0" w:type="dxa"/>
          <w:left w:w="108" w:type="dxa"/>
          <w:bottom w:w="0" w:type="dxa"/>
          <w:right w:w="108" w:type="dxa"/>
        </w:tblCellMar>
      </w:tblPr>
      <w:tblGrid>
        <w:gridCol w:w="2816"/>
        <w:gridCol w:w="502"/>
        <w:gridCol w:w="1216"/>
        <w:gridCol w:w="3216"/>
        <w:gridCol w:w="502"/>
        <w:gridCol w:w="1216"/>
        <w:gridCol w:w="1592"/>
        <w:gridCol w:w="1678"/>
        <w:gridCol w:w="1368"/>
      </w:tblGrid>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收     入</w:t>
            </w:r>
          </w:p>
        </w:tc>
        <w:tc>
          <w:tcPr>
            <w:tcW w:w="0" w:type="auto"/>
            <w:gridSpan w:val="6"/>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支     出</w:t>
            </w:r>
          </w:p>
        </w:tc>
      </w:tr>
      <w:tr>
        <w:tblPrEx>
          <w:tblCellMar>
            <w:top w:w="0" w:type="dxa"/>
            <w:left w:w="108" w:type="dxa"/>
            <w:bottom w:w="0" w:type="dxa"/>
            <w:right w:w="108" w:type="dxa"/>
          </w:tblCellMar>
        </w:tblPrEx>
        <w:trPr>
          <w:trHeight w:val="312" w:hRule="atLeast"/>
        </w:trPr>
        <w:tc>
          <w:tcPr>
            <w:tcW w:w="0" w:type="auto"/>
            <w:vMerge w:val="restart"/>
            <w:tcBorders>
              <w:top w:val="nil"/>
              <w:left w:val="single" w:color="000000" w:sz="4" w:space="0"/>
              <w:bottom w:val="single" w:color="000000" w:sz="4" w:space="0"/>
              <w:right w:val="single" w:color="000000" w:sz="4" w:space="0"/>
            </w:tcBorders>
            <w:shd w:val="clear" w:color="000000" w:fill="C0C0C0"/>
            <w:vAlign w:val="center"/>
          </w:tcPr>
          <w:p>
            <w:pPr>
              <w:widowControl/>
              <w:jc w:val="left"/>
              <w:rPr>
                <w:rFonts w:ascii="宋体" w:hAnsi="宋体" w:cs="Arial"/>
                <w:kern w:val="0"/>
                <w:sz w:val="20"/>
                <w:szCs w:val="20"/>
              </w:rPr>
            </w:pPr>
            <w:r>
              <w:rPr>
                <w:rFonts w:hint="eastAsia" w:ascii="宋体" w:hAnsi="宋体" w:cs="Arial"/>
                <w:kern w:val="0"/>
                <w:sz w:val="20"/>
                <w:szCs w:val="20"/>
              </w:rPr>
              <w:t>项目</w:t>
            </w:r>
          </w:p>
        </w:tc>
        <w:tc>
          <w:tcPr>
            <w:tcW w:w="0" w:type="auto"/>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行次</w:t>
            </w:r>
          </w:p>
        </w:tc>
        <w:tc>
          <w:tcPr>
            <w:tcW w:w="0" w:type="auto"/>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金额</w:t>
            </w:r>
          </w:p>
        </w:tc>
        <w:tc>
          <w:tcPr>
            <w:tcW w:w="0" w:type="auto"/>
            <w:vMerge w:val="restart"/>
            <w:tcBorders>
              <w:top w:val="nil"/>
              <w:left w:val="nil"/>
              <w:bottom w:val="single" w:color="000000" w:sz="4" w:space="0"/>
              <w:right w:val="single" w:color="000000" w:sz="4" w:space="0"/>
            </w:tcBorders>
            <w:shd w:val="clear" w:color="000000" w:fill="C0C0C0"/>
            <w:vAlign w:val="center"/>
          </w:tcPr>
          <w:p>
            <w:pPr>
              <w:widowControl/>
              <w:rPr>
                <w:rFonts w:ascii="宋体" w:hAnsi="宋体" w:cs="Arial"/>
                <w:kern w:val="0"/>
                <w:sz w:val="20"/>
                <w:szCs w:val="20"/>
              </w:rPr>
            </w:pPr>
            <w:r>
              <w:rPr>
                <w:rFonts w:hint="eastAsia" w:ascii="宋体" w:hAnsi="宋体" w:cs="Arial"/>
                <w:kern w:val="0"/>
                <w:sz w:val="20"/>
                <w:szCs w:val="20"/>
              </w:rPr>
              <w:t>项目</w:t>
            </w:r>
          </w:p>
        </w:tc>
        <w:tc>
          <w:tcPr>
            <w:tcW w:w="0" w:type="auto"/>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行次</w:t>
            </w:r>
          </w:p>
        </w:tc>
        <w:tc>
          <w:tcPr>
            <w:tcW w:w="0" w:type="auto"/>
            <w:vMerge w:val="restart"/>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合计</w:t>
            </w:r>
          </w:p>
        </w:tc>
        <w:tc>
          <w:tcPr>
            <w:tcW w:w="0" w:type="auto"/>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一般公共预算财政拨款</w:t>
            </w:r>
          </w:p>
        </w:tc>
        <w:tc>
          <w:tcPr>
            <w:tcW w:w="0" w:type="auto"/>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政府性基金预算财政拨款</w:t>
            </w:r>
          </w:p>
        </w:tc>
        <w:tc>
          <w:tcPr>
            <w:tcW w:w="0" w:type="auto"/>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国有资本经营预算财政拨款</w:t>
            </w:r>
          </w:p>
        </w:tc>
      </w:tr>
      <w:tr>
        <w:tblPrEx>
          <w:tblCellMar>
            <w:top w:w="0" w:type="dxa"/>
            <w:left w:w="108" w:type="dxa"/>
            <w:bottom w:w="0" w:type="dxa"/>
            <w:right w:w="108" w:type="dxa"/>
          </w:tblCellMar>
        </w:tblPrEx>
        <w:trPr>
          <w:trHeight w:val="600"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栏次</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w:t>
            </w:r>
          </w:p>
        </w:tc>
        <w:tc>
          <w:tcPr>
            <w:tcW w:w="0" w:type="auto"/>
            <w:tcBorders>
              <w:top w:val="nil"/>
              <w:left w:val="nil"/>
              <w:bottom w:val="single" w:color="000000" w:sz="4" w:space="0"/>
              <w:right w:val="single" w:color="000000" w:sz="4" w:space="0"/>
            </w:tcBorders>
            <w:shd w:val="clear" w:color="000000" w:fill="C0C0C0"/>
            <w:noWrap/>
            <w:vAlign w:val="bottom"/>
          </w:tcPr>
          <w:p>
            <w:pPr>
              <w:widowControl/>
              <w:jc w:val="left"/>
              <w:rPr>
                <w:rFonts w:ascii="宋体" w:hAnsi="宋体" w:cs="Arial"/>
                <w:kern w:val="0"/>
                <w:sz w:val="20"/>
                <w:szCs w:val="20"/>
              </w:rPr>
            </w:pPr>
            <w:r>
              <w:rPr>
                <w:rFonts w:hint="eastAsia" w:ascii="宋体" w:hAnsi="宋体" w:cs="Arial"/>
                <w:kern w:val="0"/>
                <w:sz w:val="20"/>
                <w:szCs w:val="20"/>
              </w:rPr>
              <w:t>栏次</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2</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3</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4</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5</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一、一般公共预算财政拨款</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67,990.30</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一、一般公共服务支出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33</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二、政府性基金预算财政拨款</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2</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36,484.49</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二、外交支出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34</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三、国有资本经营财政拨款</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3</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三、国防支出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35</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4</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四、公共安全支出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36</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5</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五、教育支出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37</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65,020.25</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65,020.25</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6</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六、科学技术支出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38</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425.23</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425.23</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7</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七、文化旅游体育与传媒支出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39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8</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八、社会保障和就业支出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40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1,296.19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1,296.19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九、卫生健康支出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41</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480.98</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480.98</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十、节能环保支出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42</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11</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十一、城乡社区支出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43</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12</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十二、农林水支出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44</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13</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十三、交通运输支出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45</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14</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十四、资源勘探工业信息等支出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46</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15</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十五、商业服务业等支出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47</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16</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十六、金融支出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48</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17</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十七、援助其他地区支出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49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18</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十八、自然资源海洋气象等支出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50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十九、住房保障支出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51</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767.66</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767.66</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20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二十、粮油物资储备支出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52</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21</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二十一、国有资本经营预算支出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53</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22</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二十二、灾害防治及应急管理支出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54</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23</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二十三、其他支出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55</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36,484.49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36,484.49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24</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二十四、债务还本支出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56</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25</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二十五、债务付息支出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57</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26</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二十六、抗疫特别国债安排的支出</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58</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本年收入合计</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27</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104,474.79</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本年支出合计</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59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104,474.79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67,990.30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36,484.49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年初财政拨款结转和结余</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28</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年末财政拨款结转和结余</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60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一般公共预算财政拨款</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29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61</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政府性基金预算财政拨款</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30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62</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国有资本经营预算财政拨款</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31</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63</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总计</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32</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104,474.79</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总计</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64</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104,474.79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67,990.30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36,484.49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bl>
    <w:p>
      <w:pPr>
        <w:ind w:firstLine="640"/>
        <w:rPr>
          <w:rFonts w:ascii="黑体" w:hAnsi="黑体" w:eastAsia="黑体"/>
          <w:sz w:val="32"/>
          <w:szCs w:val="32"/>
        </w:rPr>
      </w:pPr>
    </w:p>
    <w:p>
      <w:pPr>
        <w:ind w:firstLine="640"/>
        <w:rPr>
          <w:rFonts w:ascii="黑体" w:hAnsi="黑体" w:eastAsia="黑体"/>
          <w:sz w:val="32"/>
          <w:szCs w:val="32"/>
        </w:rPr>
      </w:pPr>
    </w:p>
    <w:p>
      <w:pPr>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表五：一般公共预算财政拨款支出决算表</w:t>
      </w:r>
    </w:p>
    <w:p>
      <w:pPr>
        <w:spacing w:line="560" w:lineRule="exact"/>
        <w:jc w:val="right"/>
        <w:rPr>
          <w:rFonts w:ascii="黑体" w:hAnsi="黑体" w:eastAsia="黑体"/>
          <w:sz w:val="32"/>
          <w:szCs w:val="32"/>
        </w:rPr>
      </w:pPr>
      <w:r>
        <w:rPr>
          <w:rFonts w:hint="eastAsia"/>
          <w:sz w:val="22"/>
          <w:szCs w:val="22"/>
        </w:rPr>
        <w:t>单位：万元</w:t>
      </w:r>
    </w:p>
    <w:tbl>
      <w:tblPr>
        <w:tblStyle w:val="7"/>
        <w:tblW w:w="0" w:type="auto"/>
        <w:tblInd w:w="0" w:type="dxa"/>
        <w:tblLayout w:type="fixed"/>
        <w:tblCellMar>
          <w:top w:w="0" w:type="dxa"/>
          <w:left w:w="108" w:type="dxa"/>
          <w:bottom w:w="0" w:type="dxa"/>
          <w:right w:w="108" w:type="dxa"/>
        </w:tblCellMar>
      </w:tblPr>
      <w:tblGrid>
        <w:gridCol w:w="416"/>
        <w:gridCol w:w="416"/>
        <w:gridCol w:w="416"/>
        <w:gridCol w:w="1423"/>
        <w:gridCol w:w="698"/>
        <w:gridCol w:w="700"/>
        <w:gridCol w:w="820"/>
        <w:gridCol w:w="1123"/>
        <w:gridCol w:w="1123"/>
        <w:gridCol w:w="1123"/>
        <w:gridCol w:w="1123"/>
        <w:gridCol w:w="1123"/>
        <w:gridCol w:w="1123"/>
        <w:gridCol w:w="620"/>
        <w:gridCol w:w="620"/>
        <w:gridCol w:w="620"/>
        <w:gridCol w:w="620"/>
      </w:tblGrid>
      <w:tr>
        <w:tblPrEx>
          <w:tblCellMar>
            <w:top w:w="0" w:type="dxa"/>
            <w:left w:w="108" w:type="dxa"/>
            <w:bottom w:w="0" w:type="dxa"/>
            <w:right w:w="108" w:type="dxa"/>
          </w:tblCellMar>
        </w:tblPrEx>
        <w:trPr>
          <w:trHeight w:val="300" w:hRule="atLeast"/>
        </w:trPr>
        <w:tc>
          <w:tcPr>
            <w:tcW w:w="1248" w:type="dxa"/>
            <w:gridSpan w:val="3"/>
            <w:vMerge w:val="restart"/>
            <w:tcBorders>
              <w:top w:val="nil"/>
              <w:left w:val="single" w:color="000000" w:sz="4" w:space="0"/>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科目编码</w:t>
            </w:r>
          </w:p>
        </w:tc>
        <w:tc>
          <w:tcPr>
            <w:tcW w:w="1423"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科目名称</w:t>
            </w:r>
          </w:p>
        </w:tc>
        <w:tc>
          <w:tcPr>
            <w:tcW w:w="2218" w:type="dxa"/>
            <w:gridSpan w:val="3"/>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年初结转和结余</w:t>
            </w:r>
          </w:p>
        </w:tc>
        <w:tc>
          <w:tcPr>
            <w:tcW w:w="3369" w:type="dxa"/>
            <w:gridSpan w:val="3"/>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本年收入</w:t>
            </w:r>
          </w:p>
        </w:tc>
        <w:tc>
          <w:tcPr>
            <w:tcW w:w="3369" w:type="dxa"/>
            <w:gridSpan w:val="3"/>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本年支出</w:t>
            </w:r>
          </w:p>
        </w:tc>
        <w:tc>
          <w:tcPr>
            <w:tcW w:w="2480" w:type="dxa"/>
            <w:gridSpan w:val="4"/>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年末结转和结余</w:t>
            </w:r>
          </w:p>
        </w:tc>
      </w:tr>
      <w:tr>
        <w:tblPrEx>
          <w:tblCellMar>
            <w:top w:w="0" w:type="dxa"/>
            <w:left w:w="108" w:type="dxa"/>
            <w:bottom w:w="0" w:type="dxa"/>
            <w:right w:w="108" w:type="dxa"/>
          </w:tblCellMar>
        </w:tblPrEx>
        <w:trPr>
          <w:trHeight w:val="300" w:hRule="atLeast"/>
        </w:trPr>
        <w:tc>
          <w:tcPr>
            <w:tcW w:w="1248"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42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98"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合计</w:t>
            </w:r>
          </w:p>
        </w:tc>
        <w:tc>
          <w:tcPr>
            <w:tcW w:w="700"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基本支出结转</w:t>
            </w:r>
          </w:p>
        </w:tc>
        <w:tc>
          <w:tcPr>
            <w:tcW w:w="820"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项目支出结转和结余</w:t>
            </w:r>
          </w:p>
        </w:tc>
        <w:tc>
          <w:tcPr>
            <w:tcW w:w="1123"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合计</w:t>
            </w:r>
          </w:p>
        </w:tc>
        <w:tc>
          <w:tcPr>
            <w:tcW w:w="1123"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基本支出</w:t>
            </w:r>
          </w:p>
        </w:tc>
        <w:tc>
          <w:tcPr>
            <w:tcW w:w="1123"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项目支出</w:t>
            </w:r>
          </w:p>
        </w:tc>
        <w:tc>
          <w:tcPr>
            <w:tcW w:w="1123"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合计</w:t>
            </w:r>
          </w:p>
        </w:tc>
        <w:tc>
          <w:tcPr>
            <w:tcW w:w="1123"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基本支出</w:t>
            </w:r>
          </w:p>
        </w:tc>
        <w:tc>
          <w:tcPr>
            <w:tcW w:w="1123"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项目支出</w:t>
            </w:r>
          </w:p>
        </w:tc>
        <w:tc>
          <w:tcPr>
            <w:tcW w:w="620"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合计</w:t>
            </w:r>
          </w:p>
        </w:tc>
        <w:tc>
          <w:tcPr>
            <w:tcW w:w="620"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基本支出结转</w:t>
            </w:r>
          </w:p>
        </w:tc>
        <w:tc>
          <w:tcPr>
            <w:tcW w:w="1240" w:type="dxa"/>
            <w:gridSpan w:val="2"/>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项目支出结转和结余</w:t>
            </w:r>
          </w:p>
        </w:tc>
      </w:tr>
      <w:tr>
        <w:tblPrEx>
          <w:tblCellMar>
            <w:top w:w="0" w:type="dxa"/>
            <w:left w:w="108" w:type="dxa"/>
            <w:bottom w:w="0" w:type="dxa"/>
            <w:right w:w="108" w:type="dxa"/>
          </w:tblCellMar>
        </w:tblPrEx>
        <w:trPr>
          <w:trHeight w:val="312" w:hRule="atLeast"/>
        </w:trPr>
        <w:tc>
          <w:tcPr>
            <w:tcW w:w="1248"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42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98"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70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82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2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2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20"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项目支出结转</w:t>
            </w:r>
          </w:p>
        </w:tc>
        <w:tc>
          <w:tcPr>
            <w:tcW w:w="620"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项目支出结余</w:t>
            </w:r>
          </w:p>
        </w:tc>
      </w:tr>
      <w:tr>
        <w:tblPrEx>
          <w:tblCellMar>
            <w:top w:w="0" w:type="dxa"/>
            <w:left w:w="108" w:type="dxa"/>
            <w:bottom w:w="0" w:type="dxa"/>
            <w:right w:w="108" w:type="dxa"/>
          </w:tblCellMar>
        </w:tblPrEx>
        <w:trPr>
          <w:trHeight w:val="600" w:hRule="atLeast"/>
        </w:trPr>
        <w:tc>
          <w:tcPr>
            <w:tcW w:w="1248"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42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98"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70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82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2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2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2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2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r>
      <w:tr>
        <w:tblPrEx>
          <w:tblCellMar>
            <w:top w:w="0" w:type="dxa"/>
            <w:left w:w="108" w:type="dxa"/>
            <w:bottom w:w="0" w:type="dxa"/>
            <w:right w:w="108" w:type="dxa"/>
          </w:tblCellMar>
        </w:tblPrEx>
        <w:trPr>
          <w:trHeight w:val="300" w:hRule="atLeast"/>
        </w:trPr>
        <w:tc>
          <w:tcPr>
            <w:tcW w:w="416" w:type="dxa"/>
            <w:vMerge w:val="restart"/>
            <w:tcBorders>
              <w:top w:val="nil"/>
              <w:left w:val="single" w:color="000000" w:sz="4" w:space="0"/>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类</w:t>
            </w:r>
          </w:p>
        </w:tc>
        <w:tc>
          <w:tcPr>
            <w:tcW w:w="416"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款</w:t>
            </w:r>
          </w:p>
        </w:tc>
        <w:tc>
          <w:tcPr>
            <w:tcW w:w="416"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w:t>
            </w:r>
          </w:p>
        </w:tc>
        <w:tc>
          <w:tcPr>
            <w:tcW w:w="1423" w:type="dxa"/>
            <w:tcBorders>
              <w:top w:val="nil"/>
              <w:left w:val="nil"/>
              <w:bottom w:val="single" w:color="000000" w:sz="4" w:space="0"/>
              <w:right w:val="single" w:color="000000" w:sz="4" w:space="0"/>
            </w:tcBorders>
            <w:shd w:val="clear" w:color="000000" w:fill="C0C0C0"/>
            <w:vAlign w:val="center"/>
          </w:tcPr>
          <w:p>
            <w:pPr>
              <w:widowControl/>
              <w:jc w:val="left"/>
              <w:rPr>
                <w:rFonts w:ascii="宋体" w:hAnsi="宋体" w:cs="Arial"/>
                <w:kern w:val="0"/>
                <w:sz w:val="20"/>
                <w:szCs w:val="20"/>
              </w:rPr>
            </w:pPr>
            <w:r>
              <w:rPr>
                <w:rFonts w:hint="eastAsia" w:ascii="宋体" w:hAnsi="宋体" w:cs="Arial"/>
                <w:kern w:val="0"/>
                <w:sz w:val="20"/>
                <w:szCs w:val="20"/>
              </w:rPr>
              <w:t>栏次</w:t>
            </w:r>
          </w:p>
        </w:tc>
        <w:tc>
          <w:tcPr>
            <w:tcW w:w="698"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w:t>
            </w:r>
          </w:p>
        </w:tc>
        <w:tc>
          <w:tcPr>
            <w:tcW w:w="700"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2</w:t>
            </w:r>
          </w:p>
        </w:tc>
        <w:tc>
          <w:tcPr>
            <w:tcW w:w="820"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3</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4</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5</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6</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7</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8</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9</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11</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12</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13</w:t>
            </w:r>
          </w:p>
        </w:tc>
      </w:tr>
      <w:tr>
        <w:tblPrEx>
          <w:tblCellMar>
            <w:top w:w="0" w:type="dxa"/>
            <w:left w:w="108" w:type="dxa"/>
            <w:bottom w:w="0" w:type="dxa"/>
            <w:right w:w="108" w:type="dxa"/>
          </w:tblCellMar>
        </w:tblPrEx>
        <w:trPr>
          <w:trHeight w:val="300" w:hRule="atLeast"/>
        </w:trPr>
        <w:tc>
          <w:tcPr>
            <w:tcW w:w="41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416"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416"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423" w:type="dxa"/>
            <w:tcBorders>
              <w:top w:val="nil"/>
              <w:left w:val="nil"/>
              <w:bottom w:val="single" w:color="000000" w:sz="4" w:space="0"/>
              <w:right w:val="single" w:color="000000" w:sz="4" w:space="0"/>
            </w:tcBorders>
            <w:shd w:val="clear" w:color="000000" w:fill="C0C0C0"/>
            <w:vAlign w:val="center"/>
          </w:tcPr>
          <w:p>
            <w:pPr>
              <w:widowControl/>
              <w:jc w:val="left"/>
              <w:rPr>
                <w:rFonts w:ascii="宋体" w:hAnsi="宋体" w:cs="Arial"/>
                <w:kern w:val="0"/>
                <w:sz w:val="20"/>
                <w:szCs w:val="20"/>
              </w:rPr>
            </w:pPr>
            <w:r>
              <w:rPr>
                <w:rFonts w:hint="eastAsia" w:ascii="宋体" w:hAnsi="宋体" w:cs="Arial"/>
                <w:kern w:val="0"/>
                <w:sz w:val="20"/>
                <w:szCs w:val="20"/>
              </w:rPr>
              <w:t>合计</w:t>
            </w:r>
          </w:p>
        </w:tc>
        <w:tc>
          <w:tcPr>
            <w:tcW w:w="698"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0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8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67,990.30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12,003.91</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55,986.39</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67,990.30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12,003.91</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55,986.39</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205</w:t>
            </w:r>
          </w:p>
        </w:tc>
        <w:tc>
          <w:tcPr>
            <w:tcW w:w="1423"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教育支出</w:t>
            </w:r>
          </w:p>
        </w:tc>
        <w:tc>
          <w:tcPr>
            <w:tcW w:w="698"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0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8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65,020.25</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9,471.77</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55,548.49</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65,020.25</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9,471.77</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55,548.49</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20502</w:t>
            </w:r>
          </w:p>
        </w:tc>
        <w:tc>
          <w:tcPr>
            <w:tcW w:w="1423"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普通教育</w:t>
            </w:r>
          </w:p>
        </w:tc>
        <w:tc>
          <w:tcPr>
            <w:tcW w:w="698"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0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8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65,020.25</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9,471.77</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55,548.49</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65,020.25</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9,471.77</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55,548.49</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2050202</w:t>
            </w:r>
          </w:p>
        </w:tc>
        <w:tc>
          <w:tcPr>
            <w:tcW w:w="142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小学教育</w:t>
            </w:r>
          </w:p>
        </w:tc>
        <w:tc>
          <w:tcPr>
            <w:tcW w:w="698"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70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8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915.30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809.52</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105.78</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915.30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809.52</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105.78</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2050205</w:t>
            </w:r>
          </w:p>
        </w:tc>
        <w:tc>
          <w:tcPr>
            <w:tcW w:w="142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高等教育</w:t>
            </w:r>
          </w:p>
        </w:tc>
        <w:tc>
          <w:tcPr>
            <w:tcW w:w="698"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70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8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64,104.96</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8,662.25</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55,442.71</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64,104.96</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8,662.25</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55,442.71</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206</w:t>
            </w:r>
          </w:p>
        </w:tc>
        <w:tc>
          <w:tcPr>
            <w:tcW w:w="1423"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科学技术支出</w:t>
            </w:r>
          </w:p>
        </w:tc>
        <w:tc>
          <w:tcPr>
            <w:tcW w:w="698"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0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8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425.23</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425.23</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425.23</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425.23</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20699</w:t>
            </w:r>
          </w:p>
        </w:tc>
        <w:tc>
          <w:tcPr>
            <w:tcW w:w="1423"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其他科学技术支出</w:t>
            </w:r>
          </w:p>
        </w:tc>
        <w:tc>
          <w:tcPr>
            <w:tcW w:w="698"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0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8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425.23</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425.23</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425.23</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425.23</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2069999</w:t>
            </w:r>
          </w:p>
        </w:tc>
        <w:tc>
          <w:tcPr>
            <w:tcW w:w="142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其他科学技术支出</w:t>
            </w:r>
          </w:p>
        </w:tc>
        <w:tc>
          <w:tcPr>
            <w:tcW w:w="698"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70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8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425.23</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425.23</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425.23</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425.23</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208</w:t>
            </w:r>
          </w:p>
        </w:tc>
        <w:tc>
          <w:tcPr>
            <w:tcW w:w="1423"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14"/>
                <w:szCs w:val="14"/>
              </w:rPr>
            </w:pPr>
            <w:r>
              <w:rPr>
                <w:rFonts w:hint="eastAsia" w:ascii="宋体" w:hAnsi="宋体" w:cs="Arial"/>
                <w:b/>
                <w:bCs/>
                <w:kern w:val="0"/>
                <w:sz w:val="14"/>
                <w:szCs w:val="14"/>
              </w:rPr>
              <w:t>社会保障和就业支出</w:t>
            </w:r>
          </w:p>
        </w:tc>
        <w:tc>
          <w:tcPr>
            <w:tcW w:w="698"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0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8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1,296.19</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1,283.50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12.68</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1,296.19</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1,283.50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12.68</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20805</w:t>
            </w:r>
          </w:p>
        </w:tc>
        <w:tc>
          <w:tcPr>
            <w:tcW w:w="1423"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14"/>
                <w:szCs w:val="14"/>
              </w:rPr>
            </w:pPr>
            <w:r>
              <w:rPr>
                <w:rFonts w:hint="eastAsia" w:ascii="宋体" w:hAnsi="宋体" w:cs="Arial"/>
                <w:b/>
                <w:bCs/>
                <w:kern w:val="0"/>
                <w:sz w:val="14"/>
                <w:szCs w:val="14"/>
              </w:rPr>
              <w:t>行政事业单位养老支出</w:t>
            </w:r>
          </w:p>
        </w:tc>
        <w:tc>
          <w:tcPr>
            <w:tcW w:w="698"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0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8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1,086.70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1,086.70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1,086.70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1,086.70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2080505</w:t>
            </w:r>
          </w:p>
        </w:tc>
        <w:tc>
          <w:tcPr>
            <w:tcW w:w="142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机关事业单位基本养老保险缴费支出</w:t>
            </w:r>
          </w:p>
        </w:tc>
        <w:tc>
          <w:tcPr>
            <w:tcW w:w="698"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70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8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1,039.97</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1,039.97</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1,039.97</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1,039.97</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2080506</w:t>
            </w:r>
          </w:p>
        </w:tc>
        <w:tc>
          <w:tcPr>
            <w:tcW w:w="142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机关事业单位职业年金缴费支出</w:t>
            </w:r>
          </w:p>
        </w:tc>
        <w:tc>
          <w:tcPr>
            <w:tcW w:w="698"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70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8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46.73</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46.73</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46.73</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46.73</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20808</w:t>
            </w:r>
          </w:p>
        </w:tc>
        <w:tc>
          <w:tcPr>
            <w:tcW w:w="1423"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抚恤</w:t>
            </w:r>
          </w:p>
        </w:tc>
        <w:tc>
          <w:tcPr>
            <w:tcW w:w="698"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0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8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196.80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196.80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196.80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196.80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2080801</w:t>
            </w:r>
          </w:p>
        </w:tc>
        <w:tc>
          <w:tcPr>
            <w:tcW w:w="142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死亡抚恤</w:t>
            </w:r>
          </w:p>
        </w:tc>
        <w:tc>
          <w:tcPr>
            <w:tcW w:w="698"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70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8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196.80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196.80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196.80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196.80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20899</w:t>
            </w:r>
          </w:p>
        </w:tc>
        <w:tc>
          <w:tcPr>
            <w:tcW w:w="1423"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其他社会保障和就业支出</w:t>
            </w:r>
          </w:p>
        </w:tc>
        <w:tc>
          <w:tcPr>
            <w:tcW w:w="698"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0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8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12.68</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12.68</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12.68</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12.68</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2089999</w:t>
            </w:r>
          </w:p>
        </w:tc>
        <w:tc>
          <w:tcPr>
            <w:tcW w:w="142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其他社会保障和就业支出</w:t>
            </w:r>
          </w:p>
        </w:tc>
        <w:tc>
          <w:tcPr>
            <w:tcW w:w="698"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70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8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12.68</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12.68</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12.68</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12.68</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210</w:t>
            </w:r>
          </w:p>
        </w:tc>
        <w:tc>
          <w:tcPr>
            <w:tcW w:w="1423"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卫生健康支出</w:t>
            </w:r>
          </w:p>
        </w:tc>
        <w:tc>
          <w:tcPr>
            <w:tcW w:w="698"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0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8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480.98</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480.98</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480.98</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480.98</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21011</w:t>
            </w:r>
          </w:p>
        </w:tc>
        <w:tc>
          <w:tcPr>
            <w:tcW w:w="1423"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行政事业单位医疗</w:t>
            </w:r>
          </w:p>
        </w:tc>
        <w:tc>
          <w:tcPr>
            <w:tcW w:w="698"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0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8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480.98</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480.98</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480.98</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480.98</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2101102</w:t>
            </w:r>
          </w:p>
        </w:tc>
        <w:tc>
          <w:tcPr>
            <w:tcW w:w="142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事业单位医疗</w:t>
            </w:r>
          </w:p>
        </w:tc>
        <w:tc>
          <w:tcPr>
            <w:tcW w:w="698"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70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8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480.98</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480.98</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480.98</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480.98</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221</w:t>
            </w:r>
          </w:p>
        </w:tc>
        <w:tc>
          <w:tcPr>
            <w:tcW w:w="1423"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住房保障支出</w:t>
            </w:r>
          </w:p>
        </w:tc>
        <w:tc>
          <w:tcPr>
            <w:tcW w:w="698"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0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8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767.66</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767.66</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767.66</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767.66</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22102</w:t>
            </w:r>
          </w:p>
        </w:tc>
        <w:tc>
          <w:tcPr>
            <w:tcW w:w="1423"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住房改革支出</w:t>
            </w:r>
          </w:p>
        </w:tc>
        <w:tc>
          <w:tcPr>
            <w:tcW w:w="698"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0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8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767.66</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767.66</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767.66</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767.66</w:t>
            </w:r>
          </w:p>
        </w:tc>
        <w:tc>
          <w:tcPr>
            <w:tcW w:w="112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1248" w:type="dxa"/>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2210201</w:t>
            </w:r>
          </w:p>
        </w:tc>
        <w:tc>
          <w:tcPr>
            <w:tcW w:w="1423"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xml:space="preserve">  住房公积金</w:t>
            </w:r>
          </w:p>
        </w:tc>
        <w:tc>
          <w:tcPr>
            <w:tcW w:w="698"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70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8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767.66</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767.66</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767.66</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767.66</w:t>
            </w:r>
          </w:p>
        </w:tc>
        <w:tc>
          <w:tcPr>
            <w:tcW w:w="112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bl>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p>
    <w:p>
      <w:pPr>
        <w:jc w:val="center"/>
        <w:rPr>
          <w:rFonts w:hint="eastAsia"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表六：一般公共预算财政拨款基本支出决算表</w:t>
      </w:r>
    </w:p>
    <w:p>
      <w:pPr>
        <w:spacing w:line="560" w:lineRule="exact"/>
        <w:jc w:val="right"/>
        <w:rPr>
          <w:rFonts w:ascii="黑体" w:hAnsi="黑体" w:eastAsia="黑体"/>
          <w:sz w:val="32"/>
          <w:szCs w:val="32"/>
        </w:rPr>
      </w:pPr>
      <w:r>
        <w:rPr>
          <w:rFonts w:hint="eastAsia"/>
          <w:sz w:val="22"/>
          <w:szCs w:val="22"/>
        </w:rPr>
        <w:t>单位：万元</w:t>
      </w:r>
    </w:p>
    <w:tbl>
      <w:tblPr>
        <w:tblStyle w:val="7"/>
        <w:tblW w:w="13887" w:type="dxa"/>
        <w:tblInd w:w="0" w:type="dxa"/>
        <w:tblLayout w:type="fixed"/>
        <w:tblCellMar>
          <w:top w:w="0" w:type="dxa"/>
          <w:left w:w="108" w:type="dxa"/>
          <w:bottom w:w="0" w:type="dxa"/>
          <w:right w:w="108" w:type="dxa"/>
        </w:tblCellMar>
      </w:tblPr>
      <w:tblGrid>
        <w:gridCol w:w="696"/>
        <w:gridCol w:w="3127"/>
        <w:gridCol w:w="1417"/>
        <w:gridCol w:w="992"/>
        <w:gridCol w:w="2127"/>
        <w:gridCol w:w="1134"/>
        <w:gridCol w:w="992"/>
        <w:gridCol w:w="2268"/>
        <w:gridCol w:w="1134"/>
      </w:tblGrid>
      <w:tr>
        <w:tblPrEx>
          <w:tblCellMar>
            <w:top w:w="0" w:type="dxa"/>
            <w:left w:w="108" w:type="dxa"/>
            <w:bottom w:w="0" w:type="dxa"/>
            <w:right w:w="108" w:type="dxa"/>
          </w:tblCellMar>
        </w:tblPrEx>
        <w:trPr>
          <w:trHeight w:val="300" w:hRule="atLeast"/>
        </w:trPr>
        <w:tc>
          <w:tcPr>
            <w:tcW w:w="5240" w:type="dxa"/>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人员经费</w:t>
            </w:r>
          </w:p>
        </w:tc>
        <w:tc>
          <w:tcPr>
            <w:tcW w:w="8647" w:type="dxa"/>
            <w:gridSpan w:val="6"/>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公用经费</w:t>
            </w:r>
          </w:p>
        </w:tc>
      </w:tr>
      <w:tr>
        <w:tblPrEx>
          <w:tblCellMar>
            <w:top w:w="0" w:type="dxa"/>
            <w:left w:w="108" w:type="dxa"/>
            <w:bottom w:w="0" w:type="dxa"/>
            <w:right w:w="108" w:type="dxa"/>
          </w:tblCellMar>
        </w:tblPrEx>
        <w:trPr>
          <w:trHeight w:val="312" w:hRule="atLeast"/>
        </w:trPr>
        <w:tc>
          <w:tcPr>
            <w:tcW w:w="696" w:type="dxa"/>
            <w:vMerge w:val="restart"/>
            <w:tcBorders>
              <w:top w:val="nil"/>
              <w:left w:val="single" w:color="000000" w:sz="4" w:space="0"/>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科目编码</w:t>
            </w:r>
          </w:p>
        </w:tc>
        <w:tc>
          <w:tcPr>
            <w:tcW w:w="3127"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科目名称</w:t>
            </w:r>
          </w:p>
        </w:tc>
        <w:tc>
          <w:tcPr>
            <w:tcW w:w="1417"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决算数</w:t>
            </w:r>
          </w:p>
        </w:tc>
        <w:tc>
          <w:tcPr>
            <w:tcW w:w="992"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科目编码</w:t>
            </w:r>
          </w:p>
        </w:tc>
        <w:tc>
          <w:tcPr>
            <w:tcW w:w="2127"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科目名称</w:t>
            </w:r>
          </w:p>
        </w:tc>
        <w:tc>
          <w:tcPr>
            <w:tcW w:w="1134"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决算数</w:t>
            </w:r>
          </w:p>
        </w:tc>
        <w:tc>
          <w:tcPr>
            <w:tcW w:w="992"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科目编码</w:t>
            </w:r>
          </w:p>
        </w:tc>
        <w:tc>
          <w:tcPr>
            <w:tcW w:w="2268"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科目名称</w:t>
            </w:r>
          </w:p>
        </w:tc>
        <w:tc>
          <w:tcPr>
            <w:tcW w:w="1134"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决算数</w:t>
            </w:r>
          </w:p>
        </w:tc>
      </w:tr>
      <w:tr>
        <w:tblPrEx>
          <w:tblCellMar>
            <w:top w:w="0" w:type="dxa"/>
            <w:left w:w="108" w:type="dxa"/>
            <w:bottom w:w="0" w:type="dxa"/>
            <w:right w:w="108" w:type="dxa"/>
          </w:tblCellMar>
        </w:tblPrEx>
        <w:trPr>
          <w:trHeight w:val="312" w:hRule="atLeast"/>
        </w:trPr>
        <w:tc>
          <w:tcPr>
            <w:tcW w:w="6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127"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417"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992"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2127"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34"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992"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2268"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34"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301</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工资福利支出</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9,104.09</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商品和服务支出</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1,540.85</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307</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债务利息及费用支出</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30101</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基本工资</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6,179.10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30201</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办公费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30701</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国内债务付息</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30102</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津贴补贴</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11.91</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30202</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印刷费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30702</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国外债务付息</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30103</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奖金</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30203</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咨询费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资本性支出</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30106</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伙食补助费</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30204</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手续费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31001</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房屋建筑物购建</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30107</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绩效工资</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536.34</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30205</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水费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31002</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办公设备购置</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30108</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机关事业单位基本养老保险缴费</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1,039.97</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30206</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电费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31003</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专用设备购置</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30109</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职业年金缴费</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46.73</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30207</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邮电费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31005</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基础设施建设</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30110</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职工基本医疗保险缴费</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480.98</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30208</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取暖费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31006</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大型修缮</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30111</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公务员医疗补助缴费</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30209</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物业管理费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31007</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信息网络及软件购置更新</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30112</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其他社会保障缴费</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41.41</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30211</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差旅费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31008</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物资储备</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30113</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住房公积金</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767.66</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30212</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因公出国（境）费用</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31009</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土地补偿</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30114</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医疗费</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30213</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维修（护）费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31010</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安置补助</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30199</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其他工资福利支出</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30214</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租赁费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31011</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地上附着物和青苗补偿</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303</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对个人和家庭的补助</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1,358.97</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30215</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会议费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31012</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拆迁补偿</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30301</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离休费</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188.06</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30216</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培训费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31013</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公务用车购置</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30302</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退休费</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78.66</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30217</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公务接待费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31019</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其他交通工具购置</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30303</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退职（役）费</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30218</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专用材料费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31021</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文物和陈列品购置</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30304</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抚恤金</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209.44</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30224</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被装购置费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31022</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无形资产购置</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30305</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生活补助</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30225</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专用燃料费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31099</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其他资本性支出</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30306</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救济费</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30226</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劳务费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399</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其他支出</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30307</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医疗费补助</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30227</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委托业务费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39906</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赠与</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30308</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助学金</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587.01</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30228</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工会经费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118.31</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39907</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国家赔偿费用支出</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30309</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奖励金</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30229</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福利费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39908</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对民间非营利组织和群众性自治组织补贴</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30310</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个人农业生产补贴</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30231</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公务用车运行维护费</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39999</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其他支出</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30311</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代缴社会保险费</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30239</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其他交通费用</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30399</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其他对个人和家庭的补助</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295.79</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30240</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税金及附加费用</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696" w:type="dxa"/>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3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30299</w:t>
            </w:r>
          </w:p>
        </w:tc>
        <w:tc>
          <w:tcPr>
            <w:tcW w:w="2127"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其他商品和服务支出</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1,422.54</w:t>
            </w:r>
          </w:p>
        </w:tc>
        <w:tc>
          <w:tcPr>
            <w:tcW w:w="99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2268"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r>
        <w:tblPrEx>
          <w:tblCellMar>
            <w:top w:w="0" w:type="dxa"/>
            <w:left w:w="108" w:type="dxa"/>
            <w:bottom w:w="0" w:type="dxa"/>
            <w:right w:w="108" w:type="dxa"/>
          </w:tblCellMar>
        </w:tblPrEx>
        <w:trPr>
          <w:trHeight w:val="300" w:hRule="atLeast"/>
        </w:trPr>
        <w:tc>
          <w:tcPr>
            <w:tcW w:w="3823" w:type="dxa"/>
            <w:gridSpan w:val="2"/>
            <w:tcBorders>
              <w:top w:val="nil"/>
              <w:left w:val="single" w:color="000000" w:sz="4" w:space="0"/>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人员经费合计</w:t>
            </w:r>
          </w:p>
        </w:tc>
        <w:tc>
          <w:tcPr>
            <w:tcW w:w="1417"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10,463.06</w:t>
            </w:r>
          </w:p>
        </w:tc>
        <w:tc>
          <w:tcPr>
            <w:tcW w:w="7513" w:type="dxa"/>
            <w:gridSpan w:val="5"/>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公用经费合计</w:t>
            </w:r>
          </w:p>
        </w:tc>
        <w:tc>
          <w:tcPr>
            <w:tcW w:w="113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1,540.85</w:t>
            </w:r>
          </w:p>
        </w:tc>
      </w:tr>
    </w:tbl>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表七：一般公共预算财政拨款“三公”经费支出决算表</w:t>
      </w:r>
    </w:p>
    <w:tbl>
      <w:tblPr>
        <w:tblStyle w:val="7"/>
        <w:tblW w:w="0" w:type="auto"/>
        <w:tblInd w:w="0" w:type="dxa"/>
        <w:tblLayout w:type="autofit"/>
        <w:tblCellMar>
          <w:top w:w="0" w:type="dxa"/>
          <w:left w:w="108" w:type="dxa"/>
          <w:bottom w:w="0" w:type="dxa"/>
          <w:right w:w="108" w:type="dxa"/>
        </w:tblCellMar>
      </w:tblPr>
      <w:tblGrid>
        <w:gridCol w:w="609"/>
        <w:gridCol w:w="1744"/>
        <w:gridCol w:w="610"/>
        <w:gridCol w:w="1479"/>
        <w:gridCol w:w="1479"/>
        <w:gridCol w:w="1131"/>
        <w:gridCol w:w="610"/>
        <w:gridCol w:w="1745"/>
        <w:gridCol w:w="610"/>
        <w:gridCol w:w="1479"/>
        <w:gridCol w:w="1479"/>
        <w:gridCol w:w="1131"/>
      </w:tblGrid>
      <w:tr>
        <w:tblPrEx>
          <w:tblCellMar>
            <w:top w:w="0" w:type="dxa"/>
            <w:left w:w="108" w:type="dxa"/>
            <w:bottom w:w="0" w:type="dxa"/>
            <w:right w:w="108" w:type="dxa"/>
          </w:tblCellMar>
        </w:tblPrEx>
        <w:trPr>
          <w:trHeight w:val="308"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预算数</w:t>
            </w:r>
          </w:p>
        </w:tc>
        <w:tc>
          <w:tcPr>
            <w:tcW w:w="0" w:type="auto"/>
            <w:gridSpan w:val="6"/>
            <w:tcBorders>
              <w:top w:val="single" w:color="000000" w:sz="4" w:space="0"/>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决算数</w:t>
            </w:r>
          </w:p>
        </w:tc>
      </w:tr>
      <w:tr>
        <w:tblPrEx>
          <w:tblCellMar>
            <w:top w:w="0" w:type="dxa"/>
            <w:left w:w="108" w:type="dxa"/>
            <w:bottom w:w="0" w:type="dxa"/>
            <w:right w:w="108" w:type="dxa"/>
          </w:tblCellMar>
        </w:tblPrEx>
        <w:trPr>
          <w:trHeight w:val="308" w:hRule="atLeast"/>
        </w:trPr>
        <w:tc>
          <w:tcPr>
            <w:tcW w:w="0" w:type="auto"/>
            <w:vMerge w:val="restart"/>
            <w:tcBorders>
              <w:top w:val="nil"/>
              <w:left w:val="single" w:color="000000" w:sz="4" w:space="0"/>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合计</w:t>
            </w:r>
          </w:p>
        </w:tc>
        <w:tc>
          <w:tcPr>
            <w:tcW w:w="0" w:type="auto"/>
            <w:vMerge w:val="restart"/>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因公出国（境）费</w:t>
            </w:r>
          </w:p>
        </w:tc>
        <w:tc>
          <w:tcPr>
            <w:tcW w:w="0" w:type="auto"/>
            <w:gridSpan w:val="3"/>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公务用车购置及运行费</w:t>
            </w:r>
          </w:p>
        </w:tc>
        <w:tc>
          <w:tcPr>
            <w:tcW w:w="0" w:type="auto"/>
            <w:vMerge w:val="restart"/>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公务接待费</w:t>
            </w:r>
          </w:p>
        </w:tc>
        <w:tc>
          <w:tcPr>
            <w:tcW w:w="0" w:type="auto"/>
            <w:vMerge w:val="restart"/>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合计</w:t>
            </w:r>
          </w:p>
        </w:tc>
        <w:tc>
          <w:tcPr>
            <w:tcW w:w="0" w:type="auto"/>
            <w:vMerge w:val="restart"/>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因公出国（境）费</w:t>
            </w:r>
          </w:p>
        </w:tc>
        <w:tc>
          <w:tcPr>
            <w:tcW w:w="0" w:type="auto"/>
            <w:gridSpan w:val="3"/>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公务用车购置及运行费</w:t>
            </w:r>
          </w:p>
        </w:tc>
        <w:tc>
          <w:tcPr>
            <w:tcW w:w="0" w:type="auto"/>
            <w:vMerge w:val="restart"/>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公务接待费</w:t>
            </w:r>
          </w:p>
        </w:tc>
      </w:tr>
      <w:tr>
        <w:tblPrEx>
          <w:tblCellMar>
            <w:top w:w="0" w:type="dxa"/>
            <w:left w:w="108" w:type="dxa"/>
            <w:bottom w:w="0" w:type="dxa"/>
            <w:right w:w="108" w:type="dxa"/>
          </w:tblCellMar>
        </w:tblPrEx>
        <w:trPr>
          <w:trHeight w:val="615"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小计</w:t>
            </w: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公务用车购置费</w:t>
            </w: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公务用车运行费</w:t>
            </w: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小计</w:t>
            </w: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公务用车购置费</w:t>
            </w: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公务用车运行费</w:t>
            </w: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color w:val="000000"/>
                <w:kern w:val="0"/>
                <w:sz w:val="22"/>
                <w:szCs w:val="22"/>
              </w:rPr>
            </w:pPr>
          </w:p>
        </w:tc>
      </w:tr>
      <w:tr>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w:t>
            </w: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2</w:t>
            </w: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3</w:t>
            </w: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4</w:t>
            </w: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5</w:t>
            </w: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6</w:t>
            </w: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7</w:t>
            </w: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8</w:t>
            </w: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9</w:t>
            </w: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10</w:t>
            </w: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11</w:t>
            </w:r>
          </w:p>
        </w:tc>
        <w:tc>
          <w:tcPr>
            <w:tcW w:w="0" w:type="auto"/>
            <w:tcBorders>
              <w:top w:val="nil"/>
              <w:left w:val="nil"/>
              <w:bottom w:val="single" w:color="000000" w:sz="4" w:space="0"/>
              <w:right w:val="single" w:color="000000" w:sz="4" w:space="0"/>
            </w:tcBorders>
            <w:shd w:val="clear" w:color="FFFFFF" w:fill="C0C0C0"/>
            <w:vAlign w:val="center"/>
          </w:tcPr>
          <w:p>
            <w:pPr>
              <w:widowControl/>
              <w:jc w:val="center"/>
              <w:rPr>
                <w:rFonts w:ascii="宋体" w:hAnsi="宋体" w:cs="Arial"/>
                <w:color w:val="000000"/>
                <w:kern w:val="0"/>
                <w:sz w:val="22"/>
                <w:szCs w:val="22"/>
              </w:rPr>
            </w:pPr>
            <w:r>
              <w:rPr>
                <w:rFonts w:hint="eastAsia" w:ascii="宋体" w:hAnsi="宋体" w:cs="Arial"/>
                <w:color w:val="000000"/>
                <w:kern w:val="0"/>
                <w:sz w:val="22"/>
                <w:szCs w:val="22"/>
              </w:rPr>
              <w:t>12</w:t>
            </w:r>
          </w:p>
        </w:tc>
      </w:tr>
      <w:tr>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0" w:type="auto"/>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0" w:type="auto"/>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0" w:type="auto"/>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0" w:type="auto"/>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0" w:type="auto"/>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0" w:type="auto"/>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0" w:type="auto"/>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0" w:type="auto"/>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0" w:type="auto"/>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0" w:type="auto"/>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c>
          <w:tcPr>
            <w:tcW w:w="0" w:type="auto"/>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22"/>
                <w:szCs w:val="22"/>
              </w:rPr>
            </w:pPr>
            <w:r>
              <w:rPr>
                <w:rFonts w:hint="eastAsia" w:ascii="宋体" w:hAnsi="宋体" w:cs="Arial"/>
                <w:color w:val="000000"/>
                <w:kern w:val="0"/>
                <w:sz w:val="22"/>
                <w:szCs w:val="22"/>
              </w:rPr>
              <w:t>　</w:t>
            </w:r>
          </w:p>
        </w:tc>
      </w:tr>
    </w:tbl>
    <w:p>
      <w:pPr>
        <w:rPr>
          <w:rFonts w:ascii="宋体" w:hAnsi="宋体"/>
          <w:sz w:val="24"/>
        </w:rPr>
      </w:pPr>
      <w:r>
        <w:rPr>
          <w:rFonts w:hint="eastAsia" w:ascii="宋体" w:hAnsi="宋体"/>
          <w:sz w:val="24"/>
        </w:rPr>
        <w:t>注：南宁师范大学没有国有资本经营预算财政拨款收入，也没有国有资本经营预算财政拨款安排的支出，故本表无数据</w:t>
      </w:r>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表八：政府性基金预算财政拨款收入支出决算表</w:t>
      </w:r>
    </w:p>
    <w:p>
      <w:pPr>
        <w:spacing w:line="560" w:lineRule="exact"/>
        <w:jc w:val="right"/>
        <w:rPr>
          <w:rFonts w:ascii="黑体" w:hAnsi="黑体" w:eastAsia="黑体"/>
          <w:sz w:val="32"/>
          <w:szCs w:val="32"/>
        </w:rPr>
      </w:pPr>
      <w:r>
        <w:rPr>
          <w:rFonts w:hint="eastAsia"/>
          <w:sz w:val="22"/>
          <w:szCs w:val="22"/>
        </w:rPr>
        <w:t>单位：万元</w:t>
      </w:r>
    </w:p>
    <w:tbl>
      <w:tblPr>
        <w:tblStyle w:val="7"/>
        <w:tblW w:w="0" w:type="auto"/>
        <w:tblInd w:w="0" w:type="dxa"/>
        <w:tblLayout w:type="autofit"/>
        <w:tblCellMar>
          <w:top w:w="0" w:type="dxa"/>
          <w:left w:w="108" w:type="dxa"/>
          <w:bottom w:w="0" w:type="dxa"/>
          <w:right w:w="108" w:type="dxa"/>
        </w:tblCellMar>
      </w:tblPr>
      <w:tblGrid>
        <w:gridCol w:w="416"/>
        <w:gridCol w:w="416"/>
        <w:gridCol w:w="416"/>
        <w:gridCol w:w="2232"/>
        <w:gridCol w:w="620"/>
        <w:gridCol w:w="770"/>
        <w:gridCol w:w="694"/>
        <w:gridCol w:w="1124"/>
        <w:gridCol w:w="620"/>
        <w:gridCol w:w="1124"/>
        <w:gridCol w:w="1124"/>
        <w:gridCol w:w="633"/>
        <w:gridCol w:w="1124"/>
        <w:gridCol w:w="620"/>
        <w:gridCol w:w="724"/>
        <w:gridCol w:w="724"/>
        <w:gridCol w:w="725"/>
      </w:tblGrid>
      <w:tr>
        <w:tblPrEx>
          <w:tblCellMar>
            <w:top w:w="0" w:type="dxa"/>
            <w:left w:w="108" w:type="dxa"/>
            <w:bottom w:w="0" w:type="dxa"/>
            <w:right w:w="108" w:type="dxa"/>
          </w:tblCellMar>
        </w:tblPrEx>
        <w:trPr>
          <w:trHeight w:val="300" w:hRule="atLeast"/>
        </w:trPr>
        <w:tc>
          <w:tcPr>
            <w:tcW w:w="0" w:type="auto"/>
            <w:gridSpan w:val="3"/>
            <w:vMerge w:val="restart"/>
            <w:tcBorders>
              <w:top w:val="nil"/>
              <w:left w:val="single" w:color="000000" w:sz="4" w:space="0"/>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科目编码</w:t>
            </w:r>
          </w:p>
        </w:tc>
        <w:tc>
          <w:tcPr>
            <w:tcW w:w="2232"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科目名称</w:t>
            </w:r>
          </w:p>
        </w:tc>
        <w:tc>
          <w:tcPr>
            <w:tcW w:w="2084" w:type="dxa"/>
            <w:gridSpan w:val="3"/>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年初结转和结余</w:t>
            </w:r>
          </w:p>
        </w:tc>
        <w:tc>
          <w:tcPr>
            <w:tcW w:w="0" w:type="auto"/>
            <w:gridSpan w:val="3"/>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本年收入</w:t>
            </w:r>
          </w:p>
        </w:tc>
        <w:tc>
          <w:tcPr>
            <w:tcW w:w="0" w:type="auto"/>
            <w:gridSpan w:val="3"/>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本年支出</w:t>
            </w:r>
          </w:p>
        </w:tc>
        <w:tc>
          <w:tcPr>
            <w:tcW w:w="0" w:type="auto"/>
            <w:gridSpan w:val="4"/>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年末结转和结余</w:t>
            </w:r>
          </w:p>
        </w:tc>
      </w:tr>
      <w:tr>
        <w:tblPrEx>
          <w:tblCellMar>
            <w:top w:w="0" w:type="dxa"/>
            <w:left w:w="108" w:type="dxa"/>
            <w:bottom w:w="0" w:type="dxa"/>
            <w:right w:w="108" w:type="dxa"/>
          </w:tblCellMar>
        </w:tblPrEx>
        <w:trPr>
          <w:trHeight w:val="300" w:hRule="atLeast"/>
        </w:trPr>
        <w:tc>
          <w:tcPr>
            <w:tcW w:w="0" w:type="auto"/>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2232"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20"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合计</w:t>
            </w:r>
          </w:p>
        </w:tc>
        <w:tc>
          <w:tcPr>
            <w:tcW w:w="770"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基本支出结转</w:t>
            </w:r>
          </w:p>
        </w:tc>
        <w:tc>
          <w:tcPr>
            <w:tcW w:w="694"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项目支出结转和结余</w:t>
            </w:r>
          </w:p>
        </w:tc>
        <w:tc>
          <w:tcPr>
            <w:tcW w:w="1124"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合计</w:t>
            </w:r>
          </w:p>
        </w:tc>
        <w:tc>
          <w:tcPr>
            <w:tcW w:w="620"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基本支出</w:t>
            </w:r>
          </w:p>
        </w:tc>
        <w:tc>
          <w:tcPr>
            <w:tcW w:w="0" w:type="auto"/>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项目支出</w:t>
            </w:r>
          </w:p>
        </w:tc>
        <w:tc>
          <w:tcPr>
            <w:tcW w:w="0" w:type="auto"/>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合计</w:t>
            </w:r>
          </w:p>
        </w:tc>
        <w:tc>
          <w:tcPr>
            <w:tcW w:w="633"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基本支出</w:t>
            </w:r>
          </w:p>
        </w:tc>
        <w:tc>
          <w:tcPr>
            <w:tcW w:w="1124" w:type="dxa"/>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项目支出</w:t>
            </w:r>
          </w:p>
        </w:tc>
        <w:tc>
          <w:tcPr>
            <w:tcW w:w="0" w:type="auto"/>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合计</w:t>
            </w:r>
          </w:p>
        </w:tc>
        <w:tc>
          <w:tcPr>
            <w:tcW w:w="0" w:type="auto"/>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基本支出结转</w:t>
            </w:r>
          </w:p>
        </w:tc>
        <w:tc>
          <w:tcPr>
            <w:tcW w:w="0" w:type="auto"/>
            <w:gridSpan w:val="2"/>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项目支出结转和结余</w:t>
            </w:r>
          </w:p>
        </w:tc>
      </w:tr>
      <w:tr>
        <w:tblPrEx>
          <w:tblCellMar>
            <w:top w:w="0" w:type="dxa"/>
            <w:left w:w="108" w:type="dxa"/>
            <w:bottom w:w="0" w:type="dxa"/>
            <w:right w:w="108" w:type="dxa"/>
          </w:tblCellMar>
        </w:tblPrEx>
        <w:trPr>
          <w:trHeight w:val="312" w:hRule="atLeast"/>
        </w:trPr>
        <w:tc>
          <w:tcPr>
            <w:tcW w:w="0" w:type="auto"/>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2232"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2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77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94"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4"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2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3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4"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项目支出结转</w:t>
            </w:r>
          </w:p>
        </w:tc>
        <w:tc>
          <w:tcPr>
            <w:tcW w:w="0" w:type="auto"/>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项目支出结余</w:t>
            </w:r>
          </w:p>
        </w:tc>
      </w:tr>
      <w:tr>
        <w:tblPrEx>
          <w:tblCellMar>
            <w:top w:w="0" w:type="dxa"/>
            <w:left w:w="108" w:type="dxa"/>
            <w:bottom w:w="0" w:type="dxa"/>
            <w:right w:w="108" w:type="dxa"/>
          </w:tblCellMar>
        </w:tblPrEx>
        <w:trPr>
          <w:trHeight w:val="600" w:hRule="atLeast"/>
        </w:trPr>
        <w:tc>
          <w:tcPr>
            <w:tcW w:w="0" w:type="auto"/>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2232"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2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77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94"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4"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20"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33"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1124" w:type="dxa"/>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r>
      <w:tr>
        <w:tblPrEx>
          <w:tblCellMar>
            <w:top w:w="0" w:type="dxa"/>
            <w:left w:w="108" w:type="dxa"/>
            <w:bottom w:w="0" w:type="dxa"/>
            <w:right w:w="108" w:type="dxa"/>
          </w:tblCellMar>
        </w:tblPrEx>
        <w:trPr>
          <w:trHeight w:val="300" w:hRule="atLeast"/>
        </w:trPr>
        <w:tc>
          <w:tcPr>
            <w:tcW w:w="0" w:type="auto"/>
            <w:vMerge w:val="restart"/>
            <w:tcBorders>
              <w:top w:val="nil"/>
              <w:left w:val="single" w:color="000000" w:sz="4" w:space="0"/>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类</w:t>
            </w:r>
          </w:p>
        </w:tc>
        <w:tc>
          <w:tcPr>
            <w:tcW w:w="0" w:type="auto"/>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款</w:t>
            </w:r>
          </w:p>
        </w:tc>
        <w:tc>
          <w:tcPr>
            <w:tcW w:w="0" w:type="auto"/>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w:t>
            </w:r>
          </w:p>
        </w:tc>
        <w:tc>
          <w:tcPr>
            <w:tcW w:w="2232" w:type="dxa"/>
            <w:tcBorders>
              <w:top w:val="nil"/>
              <w:left w:val="nil"/>
              <w:bottom w:val="single" w:color="000000" w:sz="4" w:space="0"/>
              <w:right w:val="single" w:color="000000" w:sz="4" w:space="0"/>
            </w:tcBorders>
            <w:shd w:val="clear" w:color="000000" w:fill="C0C0C0"/>
            <w:vAlign w:val="center"/>
          </w:tcPr>
          <w:p>
            <w:pPr>
              <w:widowControl/>
              <w:jc w:val="left"/>
              <w:rPr>
                <w:rFonts w:ascii="宋体" w:hAnsi="宋体" w:cs="Arial"/>
                <w:kern w:val="0"/>
                <w:sz w:val="20"/>
                <w:szCs w:val="20"/>
              </w:rPr>
            </w:pPr>
            <w:r>
              <w:rPr>
                <w:rFonts w:hint="eastAsia" w:ascii="宋体" w:hAnsi="宋体" w:cs="Arial"/>
                <w:kern w:val="0"/>
                <w:sz w:val="20"/>
                <w:szCs w:val="20"/>
              </w:rPr>
              <w:t>栏次</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w:t>
            </w:r>
          </w:p>
        </w:tc>
        <w:tc>
          <w:tcPr>
            <w:tcW w:w="770"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2</w:t>
            </w:r>
          </w:p>
        </w:tc>
        <w:tc>
          <w:tcPr>
            <w:tcW w:w="694"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3</w:t>
            </w:r>
          </w:p>
        </w:tc>
        <w:tc>
          <w:tcPr>
            <w:tcW w:w="1124"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4</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5</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6</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7</w:t>
            </w:r>
          </w:p>
        </w:tc>
        <w:tc>
          <w:tcPr>
            <w:tcW w:w="633"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8</w:t>
            </w:r>
          </w:p>
        </w:tc>
        <w:tc>
          <w:tcPr>
            <w:tcW w:w="1124" w:type="dxa"/>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9</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10</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11</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12</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13</w:t>
            </w:r>
          </w:p>
        </w:tc>
      </w:tr>
      <w:tr>
        <w:tblPrEx>
          <w:tblCellMar>
            <w:top w:w="0" w:type="dxa"/>
            <w:left w:w="108" w:type="dxa"/>
            <w:bottom w:w="0" w:type="dxa"/>
            <w:right w:w="108" w:type="dxa"/>
          </w:tblCellMar>
        </w:tblPrEx>
        <w:trPr>
          <w:trHeight w:val="300" w:hRule="atLeast"/>
        </w:trPr>
        <w:tc>
          <w:tcPr>
            <w:tcW w:w="0" w:type="auto"/>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0" w:type="auto"/>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2232" w:type="dxa"/>
            <w:tcBorders>
              <w:top w:val="nil"/>
              <w:left w:val="nil"/>
              <w:bottom w:val="single" w:color="000000" w:sz="4" w:space="0"/>
              <w:right w:val="single" w:color="000000" w:sz="4" w:space="0"/>
            </w:tcBorders>
            <w:shd w:val="clear" w:color="000000" w:fill="C0C0C0"/>
            <w:vAlign w:val="center"/>
          </w:tcPr>
          <w:p>
            <w:pPr>
              <w:widowControl/>
              <w:jc w:val="left"/>
              <w:rPr>
                <w:rFonts w:ascii="宋体" w:hAnsi="宋体" w:cs="Arial"/>
                <w:kern w:val="0"/>
                <w:sz w:val="20"/>
                <w:szCs w:val="20"/>
              </w:rPr>
            </w:pPr>
            <w:r>
              <w:rPr>
                <w:rFonts w:hint="eastAsia" w:ascii="宋体" w:hAnsi="宋体" w:cs="Arial"/>
                <w:kern w:val="0"/>
                <w:sz w:val="20"/>
                <w:szCs w:val="20"/>
              </w:rPr>
              <w:t>合计</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7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9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63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229</w:t>
            </w:r>
          </w:p>
        </w:tc>
        <w:tc>
          <w:tcPr>
            <w:tcW w:w="223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14"/>
                <w:szCs w:val="14"/>
              </w:rPr>
            </w:pPr>
            <w:r>
              <w:rPr>
                <w:rFonts w:hint="eastAsia" w:ascii="宋体" w:hAnsi="宋体" w:cs="Arial"/>
                <w:b/>
                <w:bCs/>
                <w:kern w:val="0"/>
                <w:sz w:val="14"/>
                <w:szCs w:val="14"/>
              </w:rPr>
              <w:t>其他支出</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7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9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63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12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20"/>
                <w:szCs w:val="20"/>
              </w:rPr>
            </w:pPr>
            <w:r>
              <w:rPr>
                <w:rFonts w:hint="eastAsia" w:ascii="宋体" w:hAnsi="宋体" w:cs="Arial"/>
                <w:b/>
                <w:bCs/>
                <w:kern w:val="0"/>
                <w:sz w:val="20"/>
                <w:szCs w:val="20"/>
              </w:rPr>
              <w:t>22904</w:t>
            </w:r>
          </w:p>
        </w:tc>
        <w:tc>
          <w:tcPr>
            <w:tcW w:w="2232" w:type="dxa"/>
            <w:tcBorders>
              <w:top w:val="nil"/>
              <w:left w:val="nil"/>
              <w:bottom w:val="single" w:color="000000" w:sz="4" w:space="0"/>
              <w:right w:val="single" w:color="000000" w:sz="4" w:space="0"/>
            </w:tcBorders>
            <w:shd w:val="clear" w:color="000000" w:fill="C0C0C0"/>
            <w:noWrap/>
            <w:vAlign w:val="center"/>
          </w:tcPr>
          <w:p>
            <w:pPr>
              <w:widowControl/>
              <w:jc w:val="left"/>
              <w:rPr>
                <w:rFonts w:ascii="宋体" w:hAnsi="宋体" w:cs="Arial"/>
                <w:b/>
                <w:bCs/>
                <w:kern w:val="0"/>
                <w:sz w:val="14"/>
                <w:szCs w:val="14"/>
              </w:rPr>
            </w:pPr>
            <w:r>
              <w:rPr>
                <w:rFonts w:hint="eastAsia" w:ascii="宋体" w:hAnsi="宋体" w:cs="Arial"/>
                <w:b/>
                <w:bCs/>
                <w:kern w:val="0"/>
                <w:sz w:val="14"/>
                <w:szCs w:val="14"/>
              </w:rPr>
              <w:t>其他政府性基金及对应专项债务收入安排的支出</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77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69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112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620"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633"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1124" w:type="dxa"/>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36,484.49</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c>
          <w:tcPr>
            <w:tcW w:w="0" w:type="auto"/>
            <w:tcBorders>
              <w:top w:val="nil"/>
              <w:left w:val="nil"/>
              <w:bottom w:val="single" w:color="000000" w:sz="4" w:space="0"/>
              <w:right w:val="single" w:color="000000" w:sz="4" w:space="0"/>
            </w:tcBorders>
            <w:shd w:val="clear" w:color="000000" w:fill="C0C0C0"/>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0.00</w:t>
            </w:r>
          </w:p>
        </w:tc>
      </w:tr>
      <w:tr>
        <w:tblPrEx>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2290402</w:t>
            </w:r>
          </w:p>
        </w:tc>
        <w:tc>
          <w:tcPr>
            <w:tcW w:w="2232"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其他地方自行试点项目收益专项债券收入安排的支出</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77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69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112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36,484.49</w:t>
            </w:r>
          </w:p>
        </w:tc>
        <w:tc>
          <w:tcPr>
            <w:tcW w:w="620"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36,484.49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36,484.49</w:t>
            </w:r>
          </w:p>
        </w:tc>
        <w:tc>
          <w:tcPr>
            <w:tcW w:w="633"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1124" w:type="dxa"/>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36,484.49</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c>
          <w:tcPr>
            <w:tcW w:w="0" w:type="auto"/>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0.00</w:t>
            </w:r>
          </w:p>
        </w:tc>
      </w:tr>
    </w:tbl>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p>
    <w:p>
      <w:pPr>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表九：国有资本经营预算财政拨款收入支出决算表</w:t>
      </w:r>
    </w:p>
    <w:p>
      <w:pPr>
        <w:spacing w:line="560" w:lineRule="exact"/>
        <w:jc w:val="right"/>
        <w:rPr>
          <w:rFonts w:ascii="黑体" w:hAnsi="黑体" w:eastAsia="黑体"/>
          <w:sz w:val="32"/>
          <w:szCs w:val="32"/>
        </w:rPr>
      </w:pPr>
      <w:r>
        <w:rPr>
          <w:rFonts w:hint="eastAsia"/>
          <w:sz w:val="22"/>
          <w:szCs w:val="22"/>
        </w:rPr>
        <w:t>单位：万元</w:t>
      </w:r>
    </w:p>
    <w:tbl>
      <w:tblPr>
        <w:tblStyle w:val="7"/>
        <w:tblW w:w="5000" w:type="pct"/>
        <w:tblInd w:w="0" w:type="dxa"/>
        <w:tblLayout w:type="autofit"/>
        <w:tblCellMar>
          <w:top w:w="0" w:type="dxa"/>
          <w:left w:w="108" w:type="dxa"/>
          <w:bottom w:w="0" w:type="dxa"/>
          <w:right w:w="108" w:type="dxa"/>
        </w:tblCellMar>
      </w:tblPr>
      <w:tblGrid>
        <w:gridCol w:w="734"/>
        <w:gridCol w:w="734"/>
        <w:gridCol w:w="742"/>
        <w:gridCol w:w="1791"/>
        <w:gridCol w:w="1086"/>
        <w:gridCol w:w="1086"/>
        <w:gridCol w:w="1089"/>
        <w:gridCol w:w="1791"/>
        <w:gridCol w:w="1791"/>
        <w:gridCol w:w="1086"/>
        <w:gridCol w:w="1086"/>
        <w:gridCol w:w="1090"/>
      </w:tblGrid>
      <w:tr>
        <w:tblPrEx>
          <w:tblCellMar>
            <w:top w:w="0" w:type="dxa"/>
            <w:left w:w="108" w:type="dxa"/>
            <w:bottom w:w="0" w:type="dxa"/>
            <w:right w:w="108" w:type="dxa"/>
          </w:tblCellMar>
        </w:tblPrEx>
        <w:trPr>
          <w:trHeight w:val="300" w:hRule="atLeast"/>
        </w:trPr>
        <w:tc>
          <w:tcPr>
            <w:tcW w:w="782" w:type="pct"/>
            <w:gridSpan w:val="3"/>
            <w:vMerge w:val="restart"/>
            <w:tcBorders>
              <w:top w:val="nil"/>
              <w:left w:val="single" w:color="000000" w:sz="4" w:space="0"/>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科目编码</w:t>
            </w:r>
          </w:p>
        </w:tc>
        <w:tc>
          <w:tcPr>
            <w:tcW w:w="635" w:type="pct"/>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科目名称</w:t>
            </w:r>
          </w:p>
        </w:tc>
        <w:tc>
          <w:tcPr>
            <w:tcW w:w="1156" w:type="pct"/>
            <w:gridSpan w:val="3"/>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年初结转和结余</w:t>
            </w:r>
          </w:p>
        </w:tc>
        <w:tc>
          <w:tcPr>
            <w:tcW w:w="635" w:type="pct"/>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本年收入</w:t>
            </w:r>
          </w:p>
        </w:tc>
        <w:tc>
          <w:tcPr>
            <w:tcW w:w="635" w:type="pct"/>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本年支出</w:t>
            </w:r>
          </w:p>
        </w:tc>
        <w:tc>
          <w:tcPr>
            <w:tcW w:w="1156" w:type="pct"/>
            <w:gridSpan w:val="3"/>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年末结转和结余</w:t>
            </w:r>
          </w:p>
        </w:tc>
      </w:tr>
      <w:tr>
        <w:tblPrEx>
          <w:tblCellMar>
            <w:top w:w="0" w:type="dxa"/>
            <w:left w:w="108" w:type="dxa"/>
            <w:bottom w:w="0" w:type="dxa"/>
            <w:right w:w="108" w:type="dxa"/>
          </w:tblCellMar>
        </w:tblPrEx>
        <w:trPr>
          <w:trHeight w:val="312" w:hRule="atLeast"/>
        </w:trPr>
        <w:tc>
          <w:tcPr>
            <w:tcW w:w="782" w:type="pct"/>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3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85" w:type="pct"/>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合计</w:t>
            </w:r>
          </w:p>
        </w:tc>
        <w:tc>
          <w:tcPr>
            <w:tcW w:w="385" w:type="pct"/>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结转</w:t>
            </w:r>
          </w:p>
        </w:tc>
        <w:tc>
          <w:tcPr>
            <w:tcW w:w="386" w:type="pct"/>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结余</w:t>
            </w:r>
          </w:p>
        </w:tc>
        <w:tc>
          <w:tcPr>
            <w:tcW w:w="63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3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85" w:type="pct"/>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合计</w:t>
            </w:r>
          </w:p>
        </w:tc>
        <w:tc>
          <w:tcPr>
            <w:tcW w:w="385" w:type="pct"/>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结转</w:t>
            </w:r>
          </w:p>
        </w:tc>
        <w:tc>
          <w:tcPr>
            <w:tcW w:w="386" w:type="pct"/>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结余</w:t>
            </w:r>
          </w:p>
        </w:tc>
      </w:tr>
      <w:tr>
        <w:tblPrEx>
          <w:tblCellMar>
            <w:top w:w="0" w:type="dxa"/>
            <w:left w:w="108" w:type="dxa"/>
            <w:bottom w:w="0" w:type="dxa"/>
            <w:right w:w="108" w:type="dxa"/>
          </w:tblCellMar>
        </w:tblPrEx>
        <w:trPr>
          <w:trHeight w:val="312" w:hRule="atLeast"/>
        </w:trPr>
        <w:tc>
          <w:tcPr>
            <w:tcW w:w="782" w:type="pct"/>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3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8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8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86"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3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3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8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8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86"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r>
      <w:tr>
        <w:tblPrEx>
          <w:tblCellMar>
            <w:top w:w="0" w:type="dxa"/>
            <w:left w:w="108" w:type="dxa"/>
            <w:bottom w:w="0" w:type="dxa"/>
            <w:right w:w="108" w:type="dxa"/>
          </w:tblCellMar>
        </w:tblPrEx>
        <w:trPr>
          <w:trHeight w:val="600" w:hRule="atLeast"/>
        </w:trPr>
        <w:tc>
          <w:tcPr>
            <w:tcW w:w="782" w:type="pct"/>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3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8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8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86"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3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3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8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85"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386"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r>
      <w:tr>
        <w:tblPrEx>
          <w:tblCellMar>
            <w:top w:w="0" w:type="dxa"/>
            <w:left w:w="108" w:type="dxa"/>
            <w:bottom w:w="0" w:type="dxa"/>
            <w:right w:w="108" w:type="dxa"/>
          </w:tblCellMar>
        </w:tblPrEx>
        <w:trPr>
          <w:trHeight w:val="300" w:hRule="atLeast"/>
        </w:trPr>
        <w:tc>
          <w:tcPr>
            <w:tcW w:w="260" w:type="pct"/>
            <w:vMerge w:val="restart"/>
            <w:tcBorders>
              <w:top w:val="nil"/>
              <w:left w:val="single" w:color="000000" w:sz="4" w:space="0"/>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类</w:t>
            </w:r>
          </w:p>
        </w:tc>
        <w:tc>
          <w:tcPr>
            <w:tcW w:w="260" w:type="pct"/>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款</w:t>
            </w:r>
          </w:p>
        </w:tc>
        <w:tc>
          <w:tcPr>
            <w:tcW w:w="263" w:type="pct"/>
            <w:vMerge w:val="restart"/>
            <w:tcBorders>
              <w:top w:val="nil"/>
              <w:left w:val="nil"/>
              <w:bottom w:val="single" w:color="000000" w:sz="4" w:space="0"/>
              <w:right w:val="single" w:color="000000" w:sz="4" w:space="0"/>
            </w:tcBorders>
            <w:shd w:val="clear" w:color="000000" w:fill="C0C0C0"/>
            <w:vAlign w:val="center"/>
          </w:tcPr>
          <w:p>
            <w:pPr>
              <w:widowControl/>
              <w:jc w:val="center"/>
              <w:rPr>
                <w:rFonts w:ascii="宋体" w:hAnsi="宋体" w:cs="Arial"/>
                <w:kern w:val="0"/>
                <w:sz w:val="20"/>
                <w:szCs w:val="20"/>
              </w:rPr>
            </w:pPr>
            <w:r>
              <w:rPr>
                <w:rFonts w:hint="eastAsia" w:ascii="宋体" w:hAnsi="宋体" w:cs="Arial"/>
                <w:kern w:val="0"/>
                <w:sz w:val="20"/>
                <w:szCs w:val="20"/>
              </w:rPr>
              <w:t>项</w:t>
            </w:r>
          </w:p>
        </w:tc>
        <w:tc>
          <w:tcPr>
            <w:tcW w:w="635" w:type="pct"/>
            <w:tcBorders>
              <w:top w:val="nil"/>
              <w:left w:val="nil"/>
              <w:bottom w:val="single" w:color="000000" w:sz="4" w:space="0"/>
              <w:right w:val="single" w:color="000000" w:sz="4" w:space="0"/>
            </w:tcBorders>
            <w:shd w:val="clear" w:color="000000" w:fill="C0C0C0"/>
            <w:vAlign w:val="center"/>
          </w:tcPr>
          <w:p>
            <w:pPr>
              <w:widowControl/>
              <w:jc w:val="left"/>
              <w:rPr>
                <w:rFonts w:ascii="宋体" w:hAnsi="宋体" w:cs="Arial"/>
                <w:kern w:val="0"/>
                <w:sz w:val="20"/>
                <w:szCs w:val="20"/>
              </w:rPr>
            </w:pPr>
            <w:r>
              <w:rPr>
                <w:rFonts w:hint="eastAsia" w:ascii="宋体" w:hAnsi="宋体" w:cs="Arial"/>
                <w:kern w:val="0"/>
                <w:sz w:val="20"/>
                <w:szCs w:val="20"/>
              </w:rPr>
              <w:t>栏次</w:t>
            </w:r>
          </w:p>
        </w:tc>
        <w:tc>
          <w:tcPr>
            <w:tcW w:w="385" w:type="pct"/>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1</w:t>
            </w:r>
          </w:p>
        </w:tc>
        <w:tc>
          <w:tcPr>
            <w:tcW w:w="385" w:type="pct"/>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2</w:t>
            </w:r>
          </w:p>
        </w:tc>
        <w:tc>
          <w:tcPr>
            <w:tcW w:w="386" w:type="pct"/>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3</w:t>
            </w:r>
          </w:p>
        </w:tc>
        <w:tc>
          <w:tcPr>
            <w:tcW w:w="635" w:type="pct"/>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4</w:t>
            </w:r>
          </w:p>
        </w:tc>
        <w:tc>
          <w:tcPr>
            <w:tcW w:w="635" w:type="pct"/>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5</w:t>
            </w:r>
          </w:p>
        </w:tc>
        <w:tc>
          <w:tcPr>
            <w:tcW w:w="385" w:type="pct"/>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6</w:t>
            </w:r>
          </w:p>
        </w:tc>
        <w:tc>
          <w:tcPr>
            <w:tcW w:w="385" w:type="pct"/>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7</w:t>
            </w:r>
          </w:p>
        </w:tc>
        <w:tc>
          <w:tcPr>
            <w:tcW w:w="386" w:type="pct"/>
            <w:tcBorders>
              <w:top w:val="nil"/>
              <w:left w:val="nil"/>
              <w:bottom w:val="single" w:color="000000" w:sz="4" w:space="0"/>
              <w:right w:val="single" w:color="000000" w:sz="4" w:space="0"/>
            </w:tcBorders>
            <w:shd w:val="clear" w:color="000000" w:fill="C0C0C0"/>
            <w:noWrap/>
            <w:vAlign w:val="center"/>
          </w:tcPr>
          <w:p>
            <w:pPr>
              <w:widowControl/>
              <w:jc w:val="center"/>
              <w:rPr>
                <w:rFonts w:ascii="宋体" w:hAnsi="宋体" w:cs="Arial"/>
                <w:kern w:val="0"/>
                <w:sz w:val="20"/>
                <w:szCs w:val="20"/>
              </w:rPr>
            </w:pPr>
            <w:r>
              <w:rPr>
                <w:rFonts w:hint="eastAsia" w:ascii="宋体" w:hAnsi="宋体" w:cs="Arial"/>
                <w:kern w:val="0"/>
                <w:sz w:val="20"/>
                <w:szCs w:val="20"/>
              </w:rPr>
              <w:t>8</w:t>
            </w:r>
          </w:p>
        </w:tc>
      </w:tr>
      <w:tr>
        <w:tblPrEx>
          <w:tblCellMar>
            <w:top w:w="0" w:type="dxa"/>
            <w:left w:w="108" w:type="dxa"/>
            <w:bottom w:w="0" w:type="dxa"/>
            <w:right w:w="108" w:type="dxa"/>
          </w:tblCellMar>
        </w:tblPrEx>
        <w:trPr>
          <w:trHeight w:val="300" w:hRule="atLeast"/>
        </w:trPr>
        <w:tc>
          <w:tcPr>
            <w:tcW w:w="260" w:type="pct"/>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Arial"/>
                <w:kern w:val="0"/>
                <w:sz w:val="20"/>
                <w:szCs w:val="20"/>
              </w:rPr>
            </w:pPr>
          </w:p>
        </w:tc>
        <w:tc>
          <w:tcPr>
            <w:tcW w:w="260"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263" w:type="pct"/>
            <w:vMerge w:val="continue"/>
            <w:tcBorders>
              <w:top w:val="nil"/>
              <w:left w:val="nil"/>
              <w:bottom w:val="single" w:color="000000" w:sz="4" w:space="0"/>
              <w:right w:val="single" w:color="000000" w:sz="4" w:space="0"/>
            </w:tcBorders>
            <w:vAlign w:val="center"/>
          </w:tcPr>
          <w:p>
            <w:pPr>
              <w:widowControl/>
              <w:jc w:val="left"/>
              <w:rPr>
                <w:rFonts w:ascii="宋体" w:hAnsi="宋体" w:cs="Arial"/>
                <w:kern w:val="0"/>
                <w:sz w:val="20"/>
                <w:szCs w:val="20"/>
              </w:rPr>
            </w:pPr>
          </w:p>
        </w:tc>
        <w:tc>
          <w:tcPr>
            <w:tcW w:w="635" w:type="pct"/>
            <w:tcBorders>
              <w:top w:val="nil"/>
              <w:left w:val="nil"/>
              <w:bottom w:val="single" w:color="000000" w:sz="4" w:space="0"/>
              <w:right w:val="single" w:color="000000" w:sz="4" w:space="0"/>
            </w:tcBorders>
            <w:shd w:val="clear" w:color="000000" w:fill="C0C0C0"/>
            <w:vAlign w:val="center"/>
          </w:tcPr>
          <w:p>
            <w:pPr>
              <w:widowControl/>
              <w:jc w:val="left"/>
              <w:rPr>
                <w:rFonts w:ascii="宋体" w:hAnsi="宋体" w:cs="Arial"/>
                <w:kern w:val="0"/>
                <w:sz w:val="20"/>
                <w:szCs w:val="20"/>
              </w:rPr>
            </w:pPr>
            <w:r>
              <w:rPr>
                <w:rFonts w:hint="eastAsia" w:ascii="宋体" w:hAnsi="宋体" w:cs="Arial"/>
                <w:kern w:val="0"/>
                <w:sz w:val="20"/>
                <w:szCs w:val="20"/>
              </w:rPr>
              <w:t>合计</w:t>
            </w:r>
          </w:p>
        </w:tc>
        <w:tc>
          <w:tcPr>
            <w:tcW w:w="385"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385"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386"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635"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635"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385"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385"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c>
          <w:tcPr>
            <w:tcW w:w="386"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b/>
                <w:bCs/>
                <w:kern w:val="0"/>
                <w:sz w:val="20"/>
                <w:szCs w:val="20"/>
              </w:rPr>
            </w:pPr>
            <w:r>
              <w:rPr>
                <w:rFonts w:hint="eastAsia" w:ascii="宋体" w:hAnsi="宋体" w:cs="Arial"/>
                <w:b/>
                <w:bCs/>
                <w:kern w:val="0"/>
                <w:sz w:val="20"/>
                <w:szCs w:val="20"/>
              </w:rPr>
              <w:t>　</w:t>
            </w:r>
          </w:p>
        </w:tc>
      </w:tr>
      <w:tr>
        <w:tblPrEx>
          <w:tblCellMar>
            <w:top w:w="0" w:type="dxa"/>
            <w:left w:w="108" w:type="dxa"/>
            <w:bottom w:w="0" w:type="dxa"/>
            <w:right w:w="108" w:type="dxa"/>
          </w:tblCellMar>
        </w:tblPrEx>
        <w:trPr>
          <w:trHeight w:val="300" w:hRule="atLeast"/>
        </w:trPr>
        <w:tc>
          <w:tcPr>
            <w:tcW w:w="782" w:type="pct"/>
            <w:gridSpan w:val="3"/>
            <w:tcBorders>
              <w:top w:val="nil"/>
              <w:left w:val="single" w:color="000000" w:sz="4" w:space="0"/>
              <w:bottom w:val="single" w:color="000000" w:sz="4" w:space="0"/>
              <w:right w:val="single" w:color="000000" w:sz="4" w:space="0"/>
            </w:tcBorders>
            <w:shd w:val="clear" w:color="000000" w:fill="FFFFFF"/>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635" w:type="pct"/>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kern w:val="0"/>
                <w:sz w:val="20"/>
                <w:szCs w:val="20"/>
              </w:rPr>
            </w:pPr>
            <w:r>
              <w:rPr>
                <w:rFonts w:hint="eastAsia" w:ascii="宋体" w:hAnsi="宋体" w:cs="Arial"/>
                <w:kern w:val="0"/>
                <w:sz w:val="20"/>
                <w:szCs w:val="20"/>
              </w:rPr>
              <w:t>　</w:t>
            </w:r>
          </w:p>
        </w:tc>
        <w:tc>
          <w:tcPr>
            <w:tcW w:w="385"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385"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386"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635"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635"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385"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385"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c>
          <w:tcPr>
            <w:tcW w:w="386" w:type="pct"/>
            <w:tcBorders>
              <w:top w:val="nil"/>
              <w:left w:val="nil"/>
              <w:bottom w:val="single" w:color="000000" w:sz="4" w:space="0"/>
              <w:right w:val="single" w:color="000000" w:sz="4" w:space="0"/>
            </w:tcBorders>
            <w:shd w:val="clear" w:color="000000" w:fill="FFFFFF"/>
            <w:noWrap/>
            <w:vAlign w:val="center"/>
          </w:tcPr>
          <w:p>
            <w:pPr>
              <w:widowControl/>
              <w:jc w:val="right"/>
              <w:rPr>
                <w:rFonts w:ascii="宋体" w:hAnsi="宋体" w:cs="Arial"/>
                <w:kern w:val="0"/>
                <w:sz w:val="20"/>
                <w:szCs w:val="20"/>
              </w:rPr>
            </w:pPr>
            <w:r>
              <w:rPr>
                <w:rFonts w:hint="eastAsia" w:ascii="宋体" w:hAnsi="宋体" w:cs="Arial"/>
                <w:kern w:val="0"/>
                <w:sz w:val="20"/>
                <w:szCs w:val="20"/>
              </w:rPr>
              <w:t>　</w:t>
            </w:r>
          </w:p>
        </w:tc>
      </w:tr>
    </w:tbl>
    <w:p>
      <w:pPr>
        <w:rPr>
          <w:rFonts w:ascii="宋体" w:hAnsi="宋体"/>
          <w:sz w:val="24"/>
        </w:rPr>
      </w:pPr>
      <w:r>
        <w:rPr>
          <w:rFonts w:hint="eastAsia" w:ascii="宋体" w:hAnsi="宋体"/>
          <w:sz w:val="24"/>
        </w:rPr>
        <w:t>注：南宁师范大学没有国有资本经营预算财政拨款收入，也没有国有资本经营预算财政拨款安排的支出，故本表无数据</w:t>
      </w:r>
    </w:p>
    <w:p>
      <w:pPr>
        <w:ind w:firstLine="640"/>
        <w:rPr>
          <w:rFonts w:ascii="黑体" w:hAnsi="黑体" w:eastAsia="黑体"/>
          <w:sz w:val="32"/>
          <w:szCs w:val="32"/>
        </w:rPr>
      </w:pPr>
    </w:p>
    <w:p>
      <w:pPr>
        <w:ind w:firstLine="640"/>
        <w:rPr>
          <w:rFonts w:ascii="黑体" w:hAnsi="黑体" w:eastAsia="黑体"/>
          <w:sz w:val="32"/>
          <w:szCs w:val="32"/>
        </w:rPr>
      </w:pPr>
    </w:p>
    <w:p>
      <w:pPr>
        <w:jc w:val="center"/>
      </w:pPr>
    </w:p>
    <w:p>
      <w:pPr>
        <w:spacing w:line="560" w:lineRule="exact"/>
        <w:rPr>
          <w:rFonts w:ascii="仿宋_GB2312" w:eastAsia="仿宋_GB2312"/>
          <w:b/>
          <w:sz w:val="32"/>
          <w:szCs w:val="32"/>
        </w:rPr>
        <w:sectPr>
          <w:pgSz w:w="16838" w:h="11906" w:orient="landscape"/>
          <w:pgMar w:top="1474" w:right="1247" w:bottom="1587" w:left="1701" w:header="851" w:footer="992" w:gutter="0"/>
          <w:cols w:space="720" w:num="1"/>
          <w:docGrid w:type="lines" w:linePitch="312" w:charSpace="0"/>
        </w:sectPr>
      </w:pPr>
    </w:p>
    <w:p>
      <w:pPr>
        <w:spacing w:line="560" w:lineRule="exact"/>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2021年度部门决算情况说明</w:t>
      </w:r>
    </w:p>
    <w:p>
      <w:pPr>
        <w:autoSpaceDE w:val="0"/>
        <w:autoSpaceDN w:val="0"/>
        <w:adjustRightInd w:val="0"/>
        <w:spacing w:line="560" w:lineRule="exact"/>
        <w:ind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right="-34" w:rightChars="-16"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（一）本部门2021年度总收入</w:t>
      </w:r>
      <w:r>
        <w:rPr>
          <w:rFonts w:ascii="仿宋_GB2312" w:eastAsia="仿宋_GB2312"/>
          <w:kern w:val="0"/>
          <w:sz w:val="32"/>
          <w:szCs w:val="32"/>
        </w:rPr>
        <w:t>164,971.90</w:t>
      </w:r>
      <w:r>
        <w:rPr>
          <w:rFonts w:hint="eastAsia" w:ascii="仿宋_GB2312" w:eastAsia="仿宋_GB2312" w:cs="仿宋_GB2312"/>
          <w:kern w:val="0"/>
          <w:sz w:val="32"/>
          <w:szCs w:val="32"/>
        </w:rPr>
        <w:t>万元，其中本年收入1</w:t>
      </w:r>
      <w:r>
        <w:rPr>
          <w:rFonts w:ascii="仿宋_GB2312" w:eastAsia="仿宋_GB2312" w:cs="仿宋_GB2312"/>
          <w:kern w:val="0"/>
          <w:sz w:val="32"/>
          <w:szCs w:val="32"/>
        </w:rPr>
        <w:t>54,947.75</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较2020年度决算数增加2</w:t>
      </w:r>
      <w:r>
        <w:rPr>
          <w:rFonts w:ascii="仿宋_GB2312" w:hAnsi="黑体" w:eastAsia="仿宋_GB2312" w:cs="仿宋_GB2312"/>
          <w:kern w:val="0"/>
          <w:sz w:val="32"/>
          <w:szCs w:val="32"/>
        </w:rPr>
        <w:t>9,838.67</w:t>
      </w:r>
      <w:r>
        <w:rPr>
          <w:rFonts w:hint="eastAsia" w:ascii="仿宋_GB2312" w:hAnsi="黑体" w:eastAsia="仿宋_GB2312" w:cs="仿宋_GB2312"/>
          <w:kern w:val="0"/>
          <w:sz w:val="32"/>
          <w:szCs w:val="32"/>
        </w:rPr>
        <w:t>万元，增长2</w:t>
      </w:r>
      <w:r>
        <w:rPr>
          <w:rFonts w:ascii="仿宋_GB2312" w:hAnsi="黑体" w:eastAsia="仿宋_GB2312" w:cs="仿宋_GB2312"/>
          <w:kern w:val="0"/>
          <w:sz w:val="32"/>
          <w:szCs w:val="32"/>
        </w:rPr>
        <w:t>3.85</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ascii="仿宋_GB2312" w:eastAsia="仿宋_GB2312"/>
          <w:kern w:val="0"/>
          <w:sz w:val="32"/>
          <w:szCs w:val="32"/>
        </w:rPr>
        <w:t>67,990.30</w:t>
      </w:r>
      <w:r>
        <w:rPr>
          <w:rFonts w:hint="eastAsia" w:ascii="仿宋_GB2312" w:eastAsia="仿宋_GB2312" w:cs="仿宋_GB2312"/>
          <w:kern w:val="0"/>
          <w:sz w:val="32"/>
          <w:szCs w:val="32"/>
        </w:rPr>
        <w:t>万元，为自治区本级财政当年拨付的资金。</w:t>
      </w:r>
      <w:r>
        <w:rPr>
          <w:rFonts w:hint="eastAsia" w:ascii="仿宋_GB2312" w:hAnsi="黑体" w:eastAsia="仿宋_GB2312" w:cs="仿宋_GB2312"/>
          <w:kern w:val="0"/>
          <w:sz w:val="32"/>
          <w:szCs w:val="32"/>
        </w:rPr>
        <w:t>较2020年度决算数增加2</w:t>
      </w:r>
      <w:r>
        <w:rPr>
          <w:rFonts w:ascii="仿宋_GB2312" w:hAnsi="黑体" w:eastAsia="仿宋_GB2312" w:cs="仿宋_GB2312"/>
          <w:kern w:val="0"/>
          <w:sz w:val="32"/>
          <w:szCs w:val="32"/>
        </w:rPr>
        <w:t>7,422.17</w:t>
      </w:r>
      <w:r>
        <w:rPr>
          <w:rFonts w:hint="eastAsia" w:ascii="仿宋_GB2312" w:hAnsi="黑体" w:eastAsia="仿宋_GB2312" w:cs="仿宋_GB2312"/>
          <w:kern w:val="0"/>
          <w:sz w:val="32"/>
          <w:szCs w:val="32"/>
        </w:rPr>
        <w:t>万元，增长6</w:t>
      </w:r>
      <w:r>
        <w:rPr>
          <w:rFonts w:ascii="仿宋_GB2312" w:hAnsi="黑体" w:eastAsia="仿宋_GB2312" w:cs="仿宋_GB2312"/>
          <w:kern w:val="0"/>
          <w:sz w:val="32"/>
          <w:szCs w:val="32"/>
        </w:rPr>
        <w:t>7.60</w:t>
      </w:r>
      <w:r>
        <w:rPr>
          <w:rFonts w:hint="eastAsia" w:ascii="仿宋_GB2312" w:hAnsi="黑体" w:eastAsia="仿宋_GB2312" w:cs="仿宋_GB2312"/>
          <w:kern w:val="0"/>
          <w:sz w:val="32"/>
          <w:szCs w:val="32"/>
        </w:rPr>
        <w:t>%，大幅增长的主要原因为：2021年获得了新校区建设补助项目12027.35万元，南宁师范大学武鸣校区西区教学组团7310.11万元，追加2021年南宁师范大学补助经费3800万元，2021年高等教育项目补助经费3509.50万元。</w:t>
      </w:r>
    </w:p>
    <w:p>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cs="仿宋_GB2312"/>
          <w:kern w:val="0"/>
          <w:sz w:val="32"/>
          <w:szCs w:val="32"/>
        </w:rPr>
        <w:t>2.政府性基金预算财政拨款收入</w:t>
      </w:r>
      <w:r>
        <w:rPr>
          <w:rFonts w:ascii="仿宋_GB2312" w:eastAsia="仿宋_GB2312"/>
          <w:kern w:val="0"/>
          <w:sz w:val="32"/>
          <w:szCs w:val="32"/>
        </w:rPr>
        <w:t>36,484.49</w:t>
      </w:r>
      <w:r>
        <w:rPr>
          <w:rFonts w:hint="eastAsia" w:ascii="仿宋_GB2312" w:eastAsia="仿宋_GB2312" w:cs="仿宋_GB2312"/>
          <w:kern w:val="0"/>
          <w:sz w:val="32"/>
          <w:szCs w:val="32"/>
        </w:rPr>
        <w:t>万元，为自治区本级财政当年拨付的资金。</w:t>
      </w:r>
      <w:r>
        <w:rPr>
          <w:rFonts w:hint="eastAsia" w:ascii="仿宋_GB2312" w:hAnsi="黑体" w:eastAsia="仿宋_GB2312" w:cs="仿宋_GB2312"/>
          <w:kern w:val="0"/>
          <w:sz w:val="32"/>
          <w:szCs w:val="32"/>
        </w:rPr>
        <w:t>较2020年度决算数减少3</w:t>
      </w:r>
      <w:r>
        <w:rPr>
          <w:rFonts w:ascii="仿宋_GB2312" w:hAnsi="黑体" w:eastAsia="仿宋_GB2312" w:cs="仿宋_GB2312"/>
          <w:kern w:val="0"/>
          <w:sz w:val="32"/>
          <w:szCs w:val="32"/>
        </w:rPr>
        <w:t>,515.51</w:t>
      </w:r>
      <w:r>
        <w:rPr>
          <w:rFonts w:hint="eastAsia" w:ascii="仿宋_GB2312" w:hAnsi="黑体" w:eastAsia="仿宋_GB2312" w:cs="仿宋_GB2312"/>
          <w:kern w:val="0"/>
          <w:sz w:val="32"/>
          <w:szCs w:val="32"/>
        </w:rPr>
        <w:t>万元，下降8</w:t>
      </w:r>
      <w:r>
        <w:rPr>
          <w:rFonts w:ascii="仿宋_GB2312" w:hAnsi="黑体" w:eastAsia="仿宋_GB2312" w:cs="仿宋_GB2312"/>
          <w:kern w:val="0"/>
          <w:sz w:val="32"/>
          <w:szCs w:val="32"/>
        </w:rPr>
        <w:t>.79</w:t>
      </w:r>
      <w:r>
        <w:rPr>
          <w:rFonts w:hint="eastAsia" w:ascii="仿宋_GB2312" w:hAnsi="黑体" w:eastAsia="仿宋_GB2312" w:cs="仿宋_GB2312"/>
          <w:kern w:val="0"/>
          <w:sz w:val="32"/>
          <w:szCs w:val="32"/>
        </w:rPr>
        <w:t>%，主要原因是</w:t>
      </w:r>
      <w:r>
        <w:rPr>
          <w:rFonts w:ascii="仿宋_GB2312" w:hAnsi="黑体" w:eastAsia="仿宋_GB2312" w:cs="仿宋_GB2312"/>
          <w:kern w:val="0"/>
          <w:sz w:val="32"/>
          <w:szCs w:val="32"/>
        </w:rPr>
        <w:t>2021</w:t>
      </w:r>
      <w:r>
        <w:rPr>
          <w:rFonts w:hint="eastAsia" w:ascii="仿宋_GB2312" w:hAnsi="黑体" w:eastAsia="仿宋_GB2312" w:cs="仿宋_GB2312"/>
          <w:kern w:val="0"/>
          <w:sz w:val="32"/>
          <w:szCs w:val="32"/>
        </w:rPr>
        <w:t>年部分政府性基金预算财政拨款下达较晚，结转在2</w:t>
      </w:r>
      <w:r>
        <w:rPr>
          <w:rFonts w:ascii="仿宋_GB2312" w:hAnsi="黑体" w:eastAsia="仿宋_GB2312" w:cs="仿宋_GB2312"/>
          <w:kern w:val="0"/>
          <w:sz w:val="32"/>
          <w:szCs w:val="32"/>
        </w:rPr>
        <w:t>022</w:t>
      </w:r>
      <w:r>
        <w:rPr>
          <w:rFonts w:hint="eastAsia" w:ascii="仿宋_GB2312" w:hAnsi="黑体" w:eastAsia="仿宋_GB2312" w:cs="仿宋_GB2312"/>
          <w:kern w:val="0"/>
          <w:sz w:val="32"/>
          <w:szCs w:val="32"/>
        </w:rPr>
        <w:t>年继续使用。</w:t>
      </w:r>
    </w:p>
    <w:p>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.国有资本经营预算财政拨款收入0万元，为自治区本级财政当年拨付的资金，我校没有该项资金收入。</w:t>
      </w:r>
      <w:r>
        <w:rPr>
          <w:rFonts w:hint="eastAsia" w:ascii="仿宋_GB2312" w:hAnsi="黑体" w:eastAsia="仿宋_GB2312" w:cs="仿宋_GB2312"/>
          <w:kern w:val="0"/>
          <w:sz w:val="32"/>
          <w:szCs w:val="32"/>
        </w:rPr>
        <w:t>与2020年度决算数一致。</w:t>
      </w:r>
    </w:p>
    <w:p>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cs="仿宋_GB2312"/>
          <w:kern w:val="0"/>
          <w:sz w:val="32"/>
          <w:szCs w:val="32"/>
        </w:rPr>
        <w:t>4.事业收入4</w:t>
      </w:r>
      <w:r>
        <w:rPr>
          <w:rFonts w:ascii="仿宋_GB2312" w:eastAsia="仿宋_GB2312" w:cs="仿宋_GB2312"/>
          <w:kern w:val="0"/>
          <w:sz w:val="32"/>
          <w:szCs w:val="32"/>
        </w:rPr>
        <w:t>0,243.16</w:t>
      </w:r>
      <w:r>
        <w:rPr>
          <w:rFonts w:hint="eastAsia" w:ascii="仿宋_GB2312" w:eastAsia="仿宋_GB2312" w:cs="仿宋_GB2312"/>
          <w:kern w:val="0"/>
          <w:sz w:val="32"/>
          <w:szCs w:val="32"/>
        </w:rPr>
        <w:t>万元，为事业单位开展业务活动取得的收入。</w:t>
      </w:r>
      <w:r>
        <w:rPr>
          <w:rFonts w:hint="eastAsia" w:ascii="仿宋_GB2312" w:hAnsi="黑体" w:eastAsia="仿宋_GB2312" w:cs="仿宋_GB2312"/>
          <w:kern w:val="0"/>
          <w:sz w:val="32"/>
          <w:szCs w:val="32"/>
        </w:rPr>
        <w:t>较2020年度决算数增加7</w:t>
      </w:r>
      <w:r>
        <w:rPr>
          <w:rFonts w:ascii="仿宋_GB2312" w:hAnsi="黑体" w:eastAsia="仿宋_GB2312" w:cs="仿宋_GB2312"/>
          <w:kern w:val="0"/>
          <w:sz w:val="32"/>
          <w:szCs w:val="32"/>
        </w:rPr>
        <w:t>,625.32</w:t>
      </w:r>
      <w:r>
        <w:rPr>
          <w:rFonts w:hint="eastAsia" w:ascii="仿宋_GB2312" w:hAnsi="黑体" w:eastAsia="仿宋_GB2312" w:cs="仿宋_GB2312"/>
          <w:kern w:val="0"/>
          <w:sz w:val="32"/>
          <w:szCs w:val="32"/>
        </w:rPr>
        <w:t>万元，增长2</w:t>
      </w:r>
      <w:r>
        <w:rPr>
          <w:rFonts w:ascii="仿宋_GB2312" w:hAnsi="黑体" w:eastAsia="仿宋_GB2312" w:cs="仿宋_GB2312"/>
          <w:kern w:val="0"/>
          <w:sz w:val="32"/>
          <w:szCs w:val="32"/>
        </w:rPr>
        <w:t>3.38</w:t>
      </w:r>
      <w:r>
        <w:rPr>
          <w:rFonts w:hint="eastAsia" w:ascii="仿宋_GB2312" w:hAnsi="黑体" w:eastAsia="仿宋_GB2312" w:cs="仿宋_GB2312"/>
          <w:kern w:val="0"/>
          <w:sz w:val="32"/>
          <w:szCs w:val="32"/>
        </w:rPr>
        <w:t>%，增加较大的主要为根据要求2020年科研事业收入列入了其他收入，2021年列入了事业收入</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.经营收入6</w:t>
      </w:r>
      <w:r>
        <w:rPr>
          <w:rFonts w:ascii="仿宋_GB2312" w:eastAsia="仿宋_GB2312" w:cs="仿宋_GB2312"/>
          <w:kern w:val="0"/>
          <w:sz w:val="32"/>
          <w:szCs w:val="32"/>
        </w:rPr>
        <w:t>,868.19</w:t>
      </w:r>
      <w:r>
        <w:rPr>
          <w:rFonts w:hint="eastAsia" w:ascii="仿宋_GB2312" w:eastAsia="仿宋_GB2312" w:cs="仿宋_GB2312"/>
          <w:kern w:val="0"/>
          <w:sz w:val="32"/>
          <w:szCs w:val="32"/>
        </w:rPr>
        <w:t>万元，为事业单位在业务活动之外开展非独立核算经营活动取得的收入，为我校食堂收入。</w:t>
      </w:r>
      <w:r>
        <w:rPr>
          <w:rFonts w:hint="eastAsia" w:ascii="仿宋_GB2312" w:hAnsi="黑体" w:eastAsia="仿宋_GB2312" w:cs="仿宋_GB2312"/>
          <w:kern w:val="0"/>
          <w:sz w:val="32"/>
          <w:szCs w:val="32"/>
        </w:rPr>
        <w:t>较2020年度决算数增加1</w:t>
      </w:r>
      <w:r>
        <w:rPr>
          <w:rFonts w:ascii="仿宋_GB2312" w:hAnsi="黑体" w:eastAsia="仿宋_GB2312" w:cs="仿宋_GB2312"/>
          <w:kern w:val="0"/>
          <w:sz w:val="32"/>
          <w:szCs w:val="32"/>
        </w:rPr>
        <w:t>,206.64</w:t>
      </w:r>
      <w:r>
        <w:rPr>
          <w:rFonts w:hint="eastAsia" w:ascii="仿宋_GB2312" w:hAnsi="黑体" w:eastAsia="仿宋_GB2312" w:cs="仿宋_GB2312"/>
          <w:kern w:val="0"/>
          <w:sz w:val="32"/>
          <w:szCs w:val="32"/>
        </w:rPr>
        <w:t>万元，增长2</w:t>
      </w:r>
      <w:r>
        <w:rPr>
          <w:rFonts w:ascii="仿宋_GB2312" w:hAnsi="黑体" w:eastAsia="仿宋_GB2312" w:cs="仿宋_GB2312"/>
          <w:kern w:val="0"/>
          <w:sz w:val="32"/>
          <w:szCs w:val="32"/>
        </w:rPr>
        <w:t>1.31</w:t>
      </w:r>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.其他收入3</w:t>
      </w:r>
      <w:r>
        <w:rPr>
          <w:rFonts w:ascii="仿宋_GB2312" w:eastAsia="仿宋_GB2312" w:cs="仿宋_GB2312"/>
          <w:kern w:val="0"/>
          <w:sz w:val="32"/>
          <w:szCs w:val="32"/>
        </w:rPr>
        <w:t>,361.61</w:t>
      </w:r>
      <w:r>
        <w:rPr>
          <w:rFonts w:hint="eastAsia" w:ascii="仿宋_GB2312" w:eastAsia="仿宋_GB2312" w:cs="仿宋_GB2312"/>
          <w:kern w:val="0"/>
          <w:sz w:val="32"/>
          <w:szCs w:val="32"/>
        </w:rPr>
        <w:t>万元，为预算单位在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autoSpaceDE w:val="0"/>
        <w:autoSpaceDN w:val="0"/>
        <w:adjustRightInd w:val="0"/>
        <w:spacing w:line="560" w:lineRule="exact"/>
        <w:rPr>
          <w:rFonts w:ascii="仿宋_GB2312" w:eastAsia="仿宋_GB2312" w:cs="仿宋_GB2312"/>
          <w:kern w:val="0"/>
          <w:sz w:val="32"/>
          <w:szCs w:val="32"/>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较2020年度决算数减少2</w:t>
      </w:r>
      <w:r>
        <w:rPr>
          <w:rFonts w:ascii="仿宋_GB2312" w:hAnsi="黑体" w:eastAsia="仿宋_GB2312" w:cs="仿宋_GB2312"/>
          <w:kern w:val="0"/>
          <w:sz w:val="32"/>
          <w:szCs w:val="32"/>
        </w:rPr>
        <w:t>,899.94</w:t>
      </w:r>
      <w:r>
        <w:rPr>
          <w:rFonts w:hint="eastAsia" w:ascii="仿宋_GB2312" w:hAnsi="黑体" w:eastAsia="仿宋_GB2312" w:cs="仿宋_GB2312"/>
          <w:kern w:val="0"/>
          <w:sz w:val="32"/>
          <w:szCs w:val="32"/>
        </w:rPr>
        <w:t>万元，下降4</w:t>
      </w:r>
      <w:r>
        <w:rPr>
          <w:rFonts w:ascii="仿宋_GB2312" w:hAnsi="黑体" w:eastAsia="仿宋_GB2312" w:cs="仿宋_GB2312"/>
          <w:kern w:val="0"/>
          <w:sz w:val="32"/>
          <w:szCs w:val="32"/>
        </w:rPr>
        <w:t>6.31</w:t>
      </w:r>
      <w:r>
        <w:rPr>
          <w:rFonts w:hint="eastAsia" w:ascii="仿宋_GB2312" w:hAnsi="黑体" w:eastAsia="仿宋_GB2312" w:cs="仿宋_GB2312"/>
          <w:kern w:val="0"/>
          <w:sz w:val="32"/>
          <w:szCs w:val="32"/>
        </w:rPr>
        <w:t>%，下降幅度较大的主要原因为根据要求2020年科研事业收入列入了其他收入，2021年列入了事业收入。</w:t>
      </w:r>
    </w:p>
    <w:p>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rPr>
        <w:t>2</w:t>
      </w:r>
      <w:r>
        <w:rPr>
          <w:rFonts w:ascii="仿宋_GB2312" w:eastAsia="仿宋_GB2312"/>
          <w:kern w:val="0"/>
          <w:sz w:val="32"/>
          <w:szCs w:val="32"/>
        </w:rPr>
        <w:t>95.61</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不能保证其支出的情况下，使用以前年度积累的非财政拨款结余弥补本年度收支缺口的资金。该资金为使用以前年度科研经费结转资金295.61万元。</w:t>
      </w:r>
    </w:p>
    <w:p>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.上年结转和结余9</w:t>
      </w:r>
      <w:r>
        <w:rPr>
          <w:rFonts w:ascii="仿宋_GB2312" w:eastAsia="仿宋_GB2312" w:cs="仿宋_GB2312"/>
          <w:kern w:val="0"/>
          <w:sz w:val="32"/>
          <w:szCs w:val="32"/>
        </w:rPr>
        <w:t>,728.54</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较2020年度决算数减少3</w:t>
      </w:r>
      <w:r>
        <w:rPr>
          <w:rFonts w:ascii="仿宋_GB2312" w:hAnsi="黑体" w:eastAsia="仿宋_GB2312" w:cs="仿宋_GB2312"/>
          <w:kern w:val="0"/>
          <w:sz w:val="32"/>
          <w:szCs w:val="32"/>
        </w:rPr>
        <w:t>,496.51</w:t>
      </w:r>
      <w:r>
        <w:rPr>
          <w:rFonts w:hint="eastAsia" w:ascii="仿宋_GB2312" w:hAnsi="黑体" w:eastAsia="仿宋_GB2312" w:cs="仿宋_GB2312"/>
          <w:kern w:val="0"/>
          <w:sz w:val="32"/>
          <w:szCs w:val="32"/>
        </w:rPr>
        <w:t>万元，下降2</w:t>
      </w:r>
      <w:r>
        <w:rPr>
          <w:rFonts w:ascii="仿宋_GB2312" w:hAnsi="黑体" w:eastAsia="仿宋_GB2312" w:cs="仿宋_GB2312"/>
          <w:kern w:val="0"/>
          <w:sz w:val="32"/>
          <w:szCs w:val="32"/>
        </w:rPr>
        <w:t>6.44</w:t>
      </w:r>
      <w:r>
        <w:rPr>
          <w:rFonts w:hint="eastAsia" w:ascii="仿宋_GB2312" w:hAnsi="黑体" w:eastAsia="仿宋_GB2312" w:cs="仿宋_GB2312"/>
          <w:kern w:val="0"/>
          <w:sz w:val="32"/>
          <w:szCs w:val="32"/>
        </w:rPr>
        <w:t>%，主要原因是2</w:t>
      </w:r>
      <w:r>
        <w:rPr>
          <w:rFonts w:ascii="仿宋_GB2312" w:hAnsi="黑体" w:eastAsia="仿宋_GB2312" w:cs="仿宋_GB2312"/>
          <w:kern w:val="0"/>
          <w:sz w:val="32"/>
          <w:szCs w:val="32"/>
        </w:rPr>
        <w:t>021</w:t>
      </w:r>
      <w:r>
        <w:rPr>
          <w:rFonts w:hint="eastAsia" w:ascii="仿宋_GB2312" w:hAnsi="黑体" w:eastAsia="仿宋_GB2312" w:cs="仿宋_GB2312"/>
          <w:kern w:val="0"/>
          <w:sz w:val="32"/>
          <w:szCs w:val="32"/>
        </w:rPr>
        <w:t>年加快资金执行力度，结转结余资金较少。</w:t>
      </w:r>
    </w:p>
    <w:p>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cs="仿宋_GB2312"/>
          <w:kern w:val="0"/>
          <w:sz w:val="32"/>
          <w:szCs w:val="32"/>
        </w:rPr>
        <w:t>（二）本部门2021年度总支出</w:t>
      </w:r>
      <w:r>
        <w:rPr>
          <w:rFonts w:ascii="仿宋_GB2312" w:eastAsia="仿宋_GB2312"/>
          <w:kern w:val="0"/>
          <w:sz w:val="32"/>
          <w:szCs w:val="32"/>
        </w:rPr>
        <w:t>164,971.90</w:t>
      </w:r>
      <w:r>
        <w:rPr>
          <w:rFonts w:hint="eastAsia" w:ascii="仿宋_GB2312" w:eastAsia="仿宋_GB2312" w:cs="仿宋_GB2312"/>
          <w:kern w:val="0"/>
          <w:sz w:val="32"/>
          <w:szCs w:val="32"/>
        </w:rPr>
        <w:t>万元，其中本年支出1</w:t>
      </w:r>
      <w:r>
        <w:rPr>
          <w:rFonts w:ascii="仿宋_GB2312" w:eastAsia="仿宋_GB2312" w:cs="仿宋_GB2312"/>
          <w:kern w:val="0"/>
          <w:sz w:val="32"/>
          <w:szCs w:val="32"/>
        </w:rPr>
        <w:t>54,960.87</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较2020年度决算数增加2</w:t>
      </w:r>
      <w:r>
        <w:rPr>
          <w:rFonts w:ascii="仿宋_GB2312" w:hAnsi="黑体" w:eastAsia="仿宋_GB2312" w:cs="仿宋_GB2312"/>
          <w:kern w:val="0"/>
          <w:sz w:val="32"/>
          <w:szCs w:val="32"/>
        </w:rPr>
        <w:t>7,162.48</w:t>
      </w:r>
      <w:r>
        <w:rPr>
          <w:rFonts w:hint="eastAsia" w:ascii="仿宋_GB2312" w:hAnsi="黑体" w:eastAsia="仿宋_GB2312" w:cs="仿宋_GB2312"/>
          <w:kern w:val="0"/>
          <w:sz w:val="32"/>
          <w:szCs w:val="32"/>
        </w:rPr>
        <w:t>万元，增长2</w:t>
      </w:r>
      <w:r>
        <w:rPr>
          <w:rFonts w:ascii="仿宋_GB2312" w:hAnsi="黑体" w:eastAsia="仿宋_GB2312" w:cs="仿宋_GB2312"/>
          <w:kern w:val="0"/>
          <w:sz w:val="32"/>
          <w:szCs w:val="32"/>
        </w:rPr>
        <w:t>1.25</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.一般公共服务支出（类）0万元，主要用于人力资源事务支出,</w:t>
      </w:r>
      <w:r>
        <w:rPr>
          <w:rFonts w:hint="eastAsia" w:ascii="仿宋_GB2312" w:hAnsi="黑体" w:eastAsia="仿宋_GB2312" w:cs="仿宋_GB2312"/>
          <w:kern w:val="0"/>
          <w:sz w:val="32"/>
          <w:szCs w:val="32"/>
        </w:rPr>
        <w:t>较2020年度决算数减少6</w:t>
      </w:r>
      <w:r>
        <w:rPr>
          <w:rFonts w:ascii="仿宋_GB2312" w:hAnsi="黑体" w:eastAsia="仿宋_GB2312" w:cs="仿宋_GB2312"/>
          <w:kern w:val="0"/>
          <w:sz w:val="32"/>
          <w:szCs w:val="32"/>
        </w:rPr>
        <w:t>8.06</w:t>
      </w:r>
      <w:r>
        <w:rPr>
          <w:rFonts w:hint="eastAsia" w:ascii="仿宋_GB2312" w:hAnsi="黑体" w:eastAsia="仿宋_GB2312" w:cs="仿宋_GB2312"/>
          <w:kern w:val="0"/>
          <w:sz w:val="32"/>
          <w:szCs w:val="32"/>
        </w:rPr>
        <w:t>万元，主要原因是2021年无该项支出。</w:t>
      </w:r>
    </w:p>
    <w:p>
      <w:pPr>
        <w:autoSpaceDE w:val="0"/>
        <w:autoSpaceDN w:val="0"/>
        <w:adjustRightInd w:val="0"/>
        <w:spacing w:line="560" w:lineRule="exact"/>
        <w:ind w:firstLine="627" w:firstLineChars="196"/>
        <w:jc w:val="left"/>
        <w:rPr>
          <w:rFonts w:ascii="仿宋_GB2312" w:eastAsia="仿宋_GB2312"/>
          <w:kern w:val="0"/>
          <w:sz w:val="32"/>
          <w:szCs w:val="32"/>
        </w:rPr>
      </w:pPr>
      <w:r>
        <w:rPr>
          <w:rFonts w:hint="eastAsia" w:ascii="仿宋_GB2312" w:eastAsia="仿宋_GB2312" w:cs="仿宋_GB2312"/>
          <w:kern w:val="0"/>
          <w:sz w:val="32"/>
          <w:szCs w:val="32"/>
        </w:rPr>
        <w:t>2</w:t>
      </w:r>
      <w:r>
        <w:rPr>
          <w:rFonts w:ascii="仿宋_GB2312" w:eastAsia="仿宋_GB2312" w:cs="仿宋_GB2312"/>
          <w:kern w:val="0"/>
          <w:sz w:val="32"/>
          <w:szCs w:val="32"/>
        </w:rPr>
        <w:t>.</w:t>
      </w:r>
      <w:r>
        <w:rPr>
          <w:rFonts w:hint="eastAsia" w:ascii="仿宋_GB2312" w:eastAsia="仿宋_GB2312" w:cs="仿宋_GB2312"/>
          <w:kern w:val="0"/>
          <w:sz w:val="32"/>
          <w:szCs w:val="32"/>
        </w:rPr>
        <w:t>教育支出（类）</w:t>
      </w:r>
      <w:r>
        <w:rPr>
          <w:rFonts w:ascii="仿宋_GB2312" w:eastAsia="仿宋_GB2312"/>
          <w:kern w:val="0"/>
          <w:sz w:val="32"/>
          <w:szCs w:val="32"/>
        </w:rPr>
        <w:t>115,033.07</w:t>
      </w:r>
      <w:r>
        <w:rPr>
          <w:rFonts w:hint="eastAsia" w:ascii="仿宋_GB2312" w:eastAsia="仿宋_GB2312" w:cs="仿宋_GB2312"/>
          <w:kern w:val="0"/>
          <w:sz w:val="32"/>
          <w:szCs w:val="32"/>
        </w:rPr>
        <w:t>万元，</w:t>
      </w:r>
      <w:r>
        <w:rPr>
          <w:rFonts w:hint="eastAsia" w:ascii="仿宋_GB2312" w:eastAsia="仿宋_GB2312"/>
          <w:kern w:val="0"/>
          <w:sz w:val="32"/>
          <w:szCs w:val="32"/>
        </w:rPr>
        <w:t>主要用于学校教育事业各项开支，</w:t>
      </w:r>
      <w:bookmarkStart w:id="0" w:name="_Hlk48664817"/>
      <w:r>
        <w:rPr>
          <w:rFonts w:hint="eastAsia" w:ascii="仿宋_GB2312" w:eastAsia="仿宋_GB2312"/>
          <w:kern w:val="0"/>
          <w:sz w:val="32"/>
          <w:szCs w:val="32"/>
        </w:rPr>
        <w:t>较20</w:t>
      </w:r>
      <w:r>
        <w:rPr>
          <w:rFonts w:ascii="仿宋_GB2312" w:eastAsia="仿宋_GB2312"/>
          <w:kern w:val="0"/>
          <w:sz w:val="32"/>
          <w:szCs w:val="32"/>
        </w:rPr>
        <w:t>20</w:t>
      </w:r>
      <w:r>
        <w:rPr>
          <w:rFonts w:hint="eastAsia" w:ascii="仿宋_GB2312" w:eastAsia="仿宋_GB2312"/>
          <w:kern w:val="0"/>
          <w:sz w:val="32"/>
          <w:szCs w:val="32"/>
        </w:rPr>
        <w:t>年度决算数增加3</w:t>
      </w:r>
      <w:r>
        <w:rPr>
          <w:rFonts w:ascii="仿宋_GB2312" w:eastAsia="仿宋_GB2312"/>
          <w:kern w:val="0"/>
          <w:sz w:val="32"/>
          <w:szCs w:val="32"/>
        </w:rPr>
        <w:t>3,043.43</w:t>
      </w:r>
      <w:r>
        <w:rPr>
          <w:rFonts w:hint="eastAsia" w:ascii="仿宋_GB2312" w:eastAsia="仿宋_GB2312"/>
          <w:kern w:val="0"/>
          <w:sz w:val="32"/>
          <w:szCs w:val="32"/>
        </w:rPr>
        <w:t>万元，增长4</w:t>
      </w:r>
      <w:r>
        <w:rPr>
          <w:rFonts w:ascii="仿宋_GB2312" w:eastAsia="仿宋_GB2312"/>
          <w:kern w:val="0"/>
          <w:sz w:val="32"/>
          <w:szCs w:val="32"/>
        </w:rPr>
        <w:t>0.30</w:t>
      </w:r>
      <w:r>
        <w:rPr>
          <w:rFonts w:hint="eastAsia" w:ascii="仿宋_GB2312" w:eastAsia="仿宋_GB2312"/>
          <w:kern w:val="0"/>
          <w:sz w:val="32"/>
          <w:szCs w:val="32"/>
        </w:rPr>
        <w:t>%</w:t>
      </w:r>
      <w:bookmarkEnd w:id="0"/>
      <w:r>
        <w:rPr>
          <w:rFonts w:hint="eastAsia" w:ascii="仿宋_GB2312" w:eastAsia="仿宋_GB2312"/>
          <w:kern w:val="0"/>
          <w:sz w:val="32"/>
          <w:szCs w:val="32"/>
        </w:rPr>
        <w:t>，教育类支出增幅较大的主要原因为获得专项经费较上年多，支出相应增加。</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3</w:t>
      </w:r>
      <w:r>
        <w:rPr>
          <w:rFonts w:ascii="仿宋_GB2312" w:eastAsia="仿宋_GB2312" w:cs="仿宋_GB2312"/>
          <w:kern w:val="0"/>
          <w:sz w:val="32"/>
          <w:szCs w:val="32"/>
        </w:rPr>
        <w:t>.</w:t>
      </w:r>
      <w:r>
        <w:rPr>
          <w:rFonts w:hint="eastAsia" w:ascii="仿宋_GB2312" w:eastAsia="仿宋_GB2312" w:cs="仿宋_GB2312"/>
          <w:kern w:val="0"/>
          <w:sz w:val="32"/>
          <w:szCs w:val="32"/>
        </w:rPr>
        <w:t>科学技术支出（类）4</w:t>
      </w:r>
      <w:r>
        <w:rPr>
          <w:rFonts w:ascii="仿宋_GB2312" w:eastAsia="仿宋_GB2312" w:cs="仿宋_GB2312"/>
          <w:kern w:val="0"/>
          <w:sz w:val="32"/>
          <w:szCs w:val="32"/>
        </w:rPr>
        <w:t>25.23</w:t>
      </w:r>
      <w:r>
        <w:rPr>
          <w:rFonts w:hint="eastAsia" w:ascii="仿宋_GB2312" w:eastAsia="仿宋_GB2312" w:cs="仿宋_GB2312"/>
          <w:kern w:val="0"/>
          <w:sz w:val="32"/>
          <w:szCs w:val="32"/>
        </w:rPr>
        <w:t>万元，主要用于科学研究支出。较20</w:t>
      </w:r>
      <w:r>
        <w:rPr>
          <w:rFonts w:ascii="仿宋_GB2312" w:eastAsia="仿宋_GB2312" w:cs="仿宋_GB2312"/>
          <w:kern w:val="0"/>
          <w:sz w:val="32"/>
          <w:szCs w:val="32"/>
        </w:rPr>
        <w:t>20</w:t>
      </w:r>
      <w:r>
        <w:rPr>
          <w:rFonts w:hint="eastAsia" w:ascii="仿宋_GB2312" w:eastAsia="仿宋_GB2312" w:cs="仿宋_GB2312"/>
          <w:kern w:val="0"/>
          <w:sz w:val="32"/>
          <w:szCs w:val="32"/>
        </w:rPr>
        <w:t>年度决算数增加2</w:t>
      </w:r>
      <w:r>
        <w:rPr>
          <w:rFonts w:ascii="仿宋_GB2312" w:eastAsia="仿宋_GB2312" w:cs="仿宋_GB2312"/>
          <w:kern w:val="0"/>
          <w:sz w:val="32"/>
          <w:szCs w:val="32"/>
        </w:rPr>
        <w:t>8.70</w:t>
      </w:r>
      <w:r>
        <w:rPr>
          <w:rFonts w:hint="eastAsia" w:ascii="仿宋_GB2312" w:eastAsia="仿宋_GB2312" w:cs="仿宋_GB2312"/>
          <w:kern w:val="0"/>
          <w:sz w:val="32"/>
          <w:szCs w:val="32"/>
        </w:rPr>
        <w:t>万元，增长7</w:t>
      </w:r>
      <w:r>
        <w:rPr>
          <w:rFonts w:ascii="仿宋_GB2312" w:eastAsia="仿宋_GB2312" w:cs="仿宋_GB2312"/>
          <w:kern w:val="0"/>
          <w:sz w:val="32"/>
          <w:szCs w:val="32"/>
        </w:rPr>
        <w:t>.24</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4</w:t>
      </w:r>
      <w:r>
        <w:rPr>
          <w:rFonts w:ascii="仿宋_GB2312" w:eastAsia="仿宋_GB2312" w:cs="仿宋_GB2312"/>
          <w:kern w:val="0"/>
          <w:sz w:val="32"/>
          <w:szCs w:val="32"/>
        </w:rPr>
        <w:t>.</w:t>
      </w:r>
      <w:r>
        <w:rPr>
          <w:rFonts w:hint="eastAsia" w:ascii="仿宋_GB2312" w:eastAsia="仿宋_GB2312" w:cs="仿宋_GB2312"/>
          <w:kern w:val="0"/>
          <w:sz w:val="32"/>
          <w:szCs w:val="32"/>
        </w:rPr>
        <w:t>文化旅游体育与传媒支出（类）</w:t>
      </w:r>
      <w:r>
        <w:rPr>
          <w:rFonts w:ascii="仿宋_GB2312" w:eastAsia="仿宋_GB2312" w:cs="仿宋_GB2312"/>
          <w:kern w:val="0"/>
          <w:sz w:val="32"/>
          <w:szCs w:val="32"/>
        </w:rPr>
        <w:t>0</w:t>
      </w:r>
      <w:r>
        <w:rPr>
          <w:rFonts w:hint="eastAsia" w:ascii="仿宋_GB2312" w:eastAsia="仿宋_GB2312" w:cs="仿宋_GB2312"/>
          <w:kern w:val="0"/>
          <w:sz w:val="32"/>
          <w:szCs w:val="32"/>
        </w:rPr>
        <w:t>万元，较20</w:t>
      </w:r>
      <w:r>
        <w:rPr>
          <w:rFonts w:ascii="仿宋_GB2312" w:eastAsia="仿宋_GB2312" w:cs="仿宋_GB2312"/>
          <w:kern w:val="0"/>
          <w:sz w:val="32"/>
          <w:szCs w:val="32"/>
        </w:rPr>
        <w:t>20</w:t>
      </w:r>
      <w:r>
        <w:rPr>
          <w:rFonts w:hint="eastAsia" w:ascii="仿宋_GB2312" w:eastAsia="仿宋_GB2312" w:cs="仿宋_GB2312"/>
          <w:kern w:val="0"/>
          <w:sz w:val="32"/>
          <w:szCs w:val="32"/>
        </w:rPr>
        <w:t>年度决算数减少了7</w:t>
      </w:r>
      <w:r>
        <w:rPr>
          <w:rFonts w:ascii="仿宋_GB2312" w:eastAsia="仿宋_GB2312" w:cs="仿宋_GB2312"/>
          <w:kern w:val="0"/>
          <w:sz w:val="32"/>
          <w:szCs w:val="32"/>
        </w:rPr>
        <w:t>5</w:t>
      </w:r>
      <w:r>
        <w:rPr>
          <w:rFonts w:hint="eastAsia" w:ascii="仿宋_GB2312" w:eastAsia="仿宋_GB2312" w:cs="仿宋_GB2312"/>
          <w:kern w:val="0"/>
          <w:sz w:val="32"/>
          <w:szCs w:val="32"/>
        </w:rPr>
        <w:t>万元，下降1</w:t>
      </w:r>
      <w:r>
        <w:rPr>
          <w:rFonts w:ascii="仿宋_GB2312" w:eastAsia="仿宋_GB2312" w:cs="仿宋_GB2312"/>
          <w:kern w:val="0"/>
          <w:sz w:val="32"/>
          <w:szCs w:val="32"/>
        </w:rPr>
        <w:t>00%</w:t>
      </w:r>
      <w:r>
        <w:rPr>
          <w:rFonts w:hint="eastAsia" w:ascii="仿宋_GB2312" w:eastAsia="仿宋_GB2312" w:cs="仿宋_GB2312"/>
          <w:kern w:val="0"/>
          <w:sz w:val="32"/>
          <w:szCs w:val="32"/>
        </w:rPr>
        <w:t>，主要原因为2021年该类收入为0万元，支出相应为0万元。</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5</w:t>
      </w:r>
      <w:r>
        <w:rPr>
          <w:rFonts w:ascii="仿宋_GB2312" w:eastAsia="仿宋_GB2312" w:cs="仿宋_GB2312"/>
          <w:kern w:val="0"/>
          <w:sz w:val="32"/>
          <w:szCs w:val="32"/>
        </w:rPr>
        <w:t>.</w:t>
      </w:r>
      <w:r>
        <w:rPr>
          <w:rFonts w:hint="eastAsia" w:ascii="仿宋_GB2312" w:eastAsia="仿宋_GB2312" w:cs="仿宋_GB2312"/>
          <w:kern w:val="0"/>
          <w:sz w:val="32"/>
          <w:szCs w:val="32"/>
        </w:rPr>
        <w:t>社会保障和就业支出（类）1</w:t>
      </w:r>
      <w:r>
        <w:rPr>
          <w:rFonts w:ascii="仿宋_GB2312" w:eastAsia="仿宋_GB2312" w:cs="仿宋_GB2312"/>
          <w:kern w:val="0"/>
          <w:sz w:val="32"/>
          <w:szCs w:val="32"/>
        </w:rPr>
        <w:t>,769.45</w:t>
      </w:r>
      <w:r>
        <w:rPr>
          <w:rFonts w:hint="eastAsia" w:ascii="仿宋_GB2312" w:eastAsia="仿宋_GB2312" w:cs="仿宋_GB2312"/>
          <w:kern w:val="0"/>
          <w:sz w:val="32"/>
          <w:szCs w:val="32"/>
        </w:rPr>
        <w:t>万元，主要用于按国家规定发放的离退休人员工资津补贴，离退休人员管理方面及抚恤金，在职人员的养老保险、职业年金的支出。较20</w:t>
      </w:r>
      <w:r>
        <w:rPr>
          <w:rFonts w:ascii="仿宋_GB2312" w:eastAsia="仿宋_GB2312" w:cs="仿宋_GB2312"/>
          <w:kern w:val="0"/>
          <w:sz w:val="32"/>
          <w:szCs w:val="32"/>
        </w:rPr>
        <w:t>20</w:t>
      </w:r>
      <w:r>
        <w:rPr>
          <w:rFonts w:hint="eastAsia" w:ascii="仿宋_GB2312" w:eastAsia="仿宋_GB2312" w:cs="仿宋_GB2312"/>
          <w:kern w:val="0"/>
          <w:sz w:val="32"/>
          <w:szCs w:val="32"/>
        </w:rPr>
        <w:t>年度决算数增加2</w:t>
      </w:r>
      <w:r>
        <w:rPr>
          <w:rFonts w:ascii="仿宋_GB2312" w:eastAsia="仿宋_GB2312" w:cs="仿宋_GB2312"/>
          <w:kern w:val="0"/>
          <w:sz w:val="32"/>
          <w:szCs w:val="32"/>
        </w:rPr>
        <w:t>78.03</w:t>
      </w:r>
      <w:r>
        <w:rPr>
          <w:rFonts w:hint="eastAsia" w:ascii="仿宋_GB2312" w:eastAsia="仿宋_GB2312" w:cs="仿宋_GB2312"/>
          <w:kern w:val="0"/>
          <w:sz w:val="32"/>
          <w:szCs w:val="32"/>
        </w:rPr>
        <w:t>万元，增长1</w:t>
      </w:r>
      <w:r>
        <w:rPr>
          <w:rFonts w:ascii="仿宋_GB2312" w:eastAsia="仿宋_GB2312" w:cs="仿宋_GB2312"/>
          <w:kern w:val="0"/>
          <w:sz w:val="32"/>
          <w:szCs w:val="32"/>
        </w:rPr>
        <w:t>8.64%</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6</w:t>
      </w:r>
      <w:r>
        <w:rPr>
          <w:rFonts w:ascii="仿宋_GB2312" w:eastAsia="仿宋_GB2312" w:cs="仿宋_GB2312"/>
          <w:kern w:val="0"/>
          <w:sz w:val="32"/>
          <w:szCs w:val="32"/>
        </w:rPr>
        <w:t>.</w:t>
      </w:r>
      <w:r>
        <w:rPr>
          <w:rFonts w:hint="eastAsia" w:ascii="仿宋_GB2312" w:eastAsia="仿宋_GB2312" w:cs="仿宋_GB2312"/>
          <w:kern w:val="0"/>
          <w:sz w:val="32"/>
          <w:szCs w:val="32"/>
        </w:rPr>
        <w:t>卫生健康支出（类）4</w:t>
      </w:r>
      <w:r>
        <w:rPr>
          <w:rFonts w:ascii="仿宋_GB2312" w:eastAsia="仿宋_GB2312" w:cs="仿宋_GB2312"/>
          <w:kern w:val="0"/>
          <w:sz w:val="32"/>
          <w:szCs w:val="32"/>
        </w:rPr>
        <w:t>80.98</w:t>
      </w:r>
      <w:r>
        <w:rPr>
          <w:rFonts w:hint="eastAsia" w:ascii="仿宋_GB2312" w:eastAsia="仿宋_GB2312" w:cs="仿宋_GB2312"/>
          <w:kern w:val="0"/>
          <w:sz w:val="32"/>
          <w:szCs w:val="32"/>
        </w:rPr>
        <w:t>万元，主要用于按照国家政策规定支付医疗保险方面的支出。较20</w:t>
      </w:r>
      <w:r>
        <w:rPr>
          <w:rFonts w:ascii="仿宋_GB2312" w:eastAsia="仿宋_GB2312" w:cs="仿宋_GB2312"/>
          <w:kern w:val="0"/>
          <w:sz w:val="32"/>
          <w:szCs w:val="32"/>
        </w:rPr>
        <w:t>20</w:t>
      </w:r>
      <w:r>
        <w:rPr>
          <w:rFonts w:hint="eastAsia" w:ascii="仿宋_GB2312" w:eastAsia="仿宋_GB2312" w:cs="仿宋_GB2312"/>
          <w:kern w:val="0"/>
          <w:sz w:val="32"/>
          <w:szCs w:val="32"/>
        </w:rPr>
        <w:t>年度决算数增加6</w:t>
      </w:r>
      <w:r>
        <w:rPr>
          <w:rFonts w:ascii="仿宋_GB2312" w:eastAsia="仿宋_GB2312" w:cs="仿宋_GB2312"/>
          <w:kern w:val="0"/>
          <w:sz w:val="32"/>
          <w:szCs w:val="32"/>
        </w:rPr>
        <w:t>6.18</w:t>
      </w:r>
      <w:r>
        <w:rPr>
          <w:rFonts w:hint="eastAsia" w:ascii="仿宋_GB2312" w:eastAsia="仿宋_GB2312" w:cs="仿宋_GB2312"/>
          <w:kern w:val="0"/>
          <w:sz w:val="32"/>
          <w:szCs w:val="32"/>
        </w:rPr>
        <w:t>万元，增长1</w:t>
      </w:r>
      <w:r>
        <w:rPr>
          <w:rFonts w:ascii="仿宋_GB2312" w:eastAsia="仿宋_GB2312" w:cs="仿宋_GB2312"/>
          <w:kern w:val="0"/>
          <w:sz w:val="32"/>
          <w:szCs w:val="32"/>
        </w:rPr>
        <w:t>5.95</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7</w:t>
      </w:r>
      <w:r>
        <w:rPr>
          <w:rFonts w:ascii="仿宋_GB2312" w:eastAsia="仿宋_GB2312" w:cs="仿宋_GB2312"/>
          <w:kern w:val="0"/>
          <w:sz w:val="32"/>
          <w:szCs w:val="32"/>
        </w:rPr>
        <w:t>.</w:t>
      </w:r>
      <w:r>
        <w:rPr>
          <w:rFonts w:hint="eastAsia" w:ascii="仿宋_GB2312" w:eastAsia="仿宋_GB2312" w:cs="仿宋_GB2312"/>
          <w:kern w:val="0"/>
          <w:sz w:val="32"/>
          <w:szCs w:val="32"/>
        </w:rPr>
        <w:t>住房保障支出（类）7</w:t>
      </w:r>
      <w:r>
        <w:rPr>
          <w:rFonts w:ascii="仿宋_GB2312" w:eastAsia="仿宋_GB2312" w:cs="仿宋_GB2312"/>
          <w:kern w:val="0"/>
          <w:sz w:val="32"/>
          <w:szCs w:val="32"/>
        </w:rPr>
        <w:t>67.66</w:t>
      </w:r>
      <w:r>
        <w:rPr>
          <w:rFonts w:hint="eastAsia" w:ascii="仿宋_GB2312" w:eastAsia="仿宋_GB2312" w:cs="仿宋_GB2312"/>
          <w:kern w:val="0"/>
          <w:sz w:val="32"/>
          <w:szCs w:val="32"/>
        </w:rPr>
        <w:t>万元，主要用于按照国家政策规定向职工发放的住房公积金、提租补贴、购房补贴等住房改革方面的支出。较20</w:t>
      </w:r>
      <w:r>
        <w:rPr>
          <w:rFonts w:ascii="仿宋_GB2312" w:eastAsia="仿宋_GB2312" w:cs="仿宋_GB2312"/>
          <w:kern w:val="0"/>
          <w:sz w:val="32"/>
          <w:szCs w:val="32"/>
        </w:rPr>
        <w:t>20</w:t>
      </w:r>
      <w:r>
        <w:rPr>
          <w:rFonts w:hint="eastAsia" w:ascii="仿宋_GB2312" w:eastAsia="仿宋_GB2312" w:cs="仿宋_GB2312"/>
          <w:kern w:val="0"/>
          <w:sz w:val="32"/>
          <w:szCs w:val="32"/>
        </w:rPr>
        <w:t>年度决算数增加5</w:t>
      </w:r>
      <w:r>
        <w:rPr>
          <w:rFonts w:ascii="仿宋_GB2312" w:eastAsia="仿宋_GB2312" w:cs="仿宋_GB2312"/>
          <w:kern w:val="0"/>
          <w:sz w:val="32"/>
          <w:szCs w:val="32"/>
        </w:rPr>
        <w:t>7.80</w:t>
      </w:r>
      <w:r>
        <w:rPr>
          <w:rFonts w:hint="eastAsia" w:ascii="仿宋_GB2312" w:eastAsia="仿宋_GB2312" w:cs="仿宋_GB2312"/>
          <w:kern w:val="0"/>
          <w:sz w:val="32"/>
          <w:szCs w:val="32"/>
        </w:rPr>
        <w:t>万元，增长8</w:t>
      </w:r>
      <w:r>
        <w:rPr>
          <w:rFonts w:ascii="仿宋_GB2312" w:eastAsia="仿宋_GB2312" w:cs="仿宋_GB2312"/>
          <w:kern w:val="0"/>
          <w:sz w:val="32"/>
          <w:szCs w:val="32"/>
        </w:rPr>
        <w:t>.14</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cs="仿宋_GB2312"/>
          <w:kern w:val="0"/>
          <w:sz w:val="32"/>
          <w:szCs w:val="32"/>
        </w:rPr>
        <w:t>8</w:t>
      </w:r>
      <w:r>
        <w:rPr>
          <w:rFonts w:ascii="仿宋_GB2312" w:eastAsia="仿宋_GB2312" w:cs="仿宋_GB2312"/>
          <w:kern w:val="0"/>
          <w:sz w:val="32"/>
          <w:szCs w:val="32"/>
        </w:rPr>
        <w:t>.</w:t>
      </w:r>
      <w:r>
        <w:rPr>
          <w:rFonts w:hint="eastAsia" w:ascii="仿宋_GB2312" w:eastAsia="仿宋_GB2312" w:cs="仿宋_GB2312"/>
          <w:kern w:val="0"/>
          <w:sz w:val="32"/>
          <w:szCs w:val="32"/>
        </w:rPr>
        <w:t>其他支出（类）3</w:t>
      </w:r>
      <w:r>
        <w:rPr>
          <w:rFonts w:ascii="仿宋_GB2312" w:eastAsia="仿宋_GB2312" w:cs="仿宋_GB2312"/>
          <w:kern w:val="0"/>
          <w:sz w:val="32"/>
          <w:szCs w:val="32"/>
        </w:rPr>
        <w:t>6,484.49</w:t>
      </w:r>
      <w:r>
        <w:rPr>
          <w:rFonts w:hint="eastAsia" w:ascii="仿宋_GB2312" w:eastAsia="仿宋_GB2312" w:cs="仿宋_GB2312"/>
          <w:kern w:val="0"/>
          <w:sz w:val="32"/>
          <w:szCs w:val="32"/>
        </w:rPr>
        <w:t>万元，主要用于我校武鸣校区建设专项债券支出。较20</w:t>
      </w:r>
      <w:r>
        <w:rPr>
          <w:rFonts w:ascii="仿宋_GB2312" w:eastAsia="仿宋_GB2312" w:cs="仿宋_GB2312"/>
          <w:kern w:val="0"/>
          <w:sz w:val="32"/>
          <w:szCs w:val="32"/>
        </w:rPr>
        <w:t>20</w:t>
      </w:r>
      <w:r>
        <w:rPr>
          <w:rFonts w:hint="eastAsia" w:ascii="仿宋_GB2312" w:eastAsia="仿宋_GB2312" w:cs="仿宋_GB2312"/>
          <w:kern w:val="0"/>
          <w:sz w:val="32"/>
          <w:szCs w:val="32"/>
        </w:rPr>
        <w:t>年度决算数减少6</w:t>
      </w:r>
      <w:r>
        <w:rPr>
          <w:rFonts w:ascii="仿宋_GB2312" w:eastAsia="仿宋_GB2312" w:cs="仿宋_GB2312"/>
          <w:kern w:val="0"/>
          <w:sz w:val="32"/>
          <w:szCs w:val="32"/>
        </w:rPr>
        <w:t>,168.58</w:t>
      </w:r>
      <w:r>
        <w:rPr>
          <w:rFonts w:hint="eastAsia" w:ascii="仿宋_GB2312" w:eastAsia="仿宋_GB2312" w:cs="仿宋_GB2312"/>
          <w:kern w:val="0"/>
          <w:sz w:val="32"/>
          <w:szCs w:val="32"/>
        </w:rPr>
        <w:t>万元，下降1</w:t>
      </w:r>
      <w:r>
        <w:rPr>
          <w:rFonts w:ascii="仿宋_GB2312" w:eastAsia="仿宋_GB2312" w:cs="仿宋_GB2312"/>
          <w:kern w:val="0"/>
          <w:sz w:val="32"/>
          <w:szCs w:val="32"/>
        </w:rPr>
        <w:t>4.46</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rPr>
          <w:rFonts w:ascii="仿宋_GB2312" w:eastAsia="仿宋_GB2312" w:cs="仿宋_GB2312"/>
          <w:kern w:val="0"/>
          <w:sz w:val="32"/>
          <w:szCs w:val="32"/>
        </w:rPr>
      </w:pPr>
      <w:r>
        <w:rPr>
          <w:rFonts w:ascii="仿宋_GB2312" w:eastAsia="仿宋_GB2312"/>
          <w:bCs/>
          <w:kern w:val="0"/>
          <w:sz w:val="32"/>
          <w:szCs w:val="32"/>
        </w:rPr>
        <w:t>9</w:t>
      </w:r>
      <w:r>
        <w:rPr>
          <w:rFonts w:hint="eastAsia" w:ascii="仿宋_GB2312" w:eastAsia="仿宋_GB2312" w:cs="仿宋_GB2312"/>
          <w:kern w:val="0"/>
          <w:sz w:val="32"/>
          <w:szCs w:val="32"/>
        </w:rPr>
        <w:t>.结余分配7</w:t>
      </w:r>
      <w:r>
        <w:rPr>
          <w:rFonts w:ascii="仿宋_GB2312" w:eastAsia="仿宋_GB2312" w:cs="仿宋_GB2312"/>
          <w:kern w:val="0"/>
          <w:sz w:val="32"/>
          <w:szCs w:val="32"/>
        </w:rPr>
        <w:t>22.75</w:t>
      </w:r>
      <w:r>
        <w:rPr>
          <w:rFonts w:hint="eastAsia" w:ascii="仿宋_GB2312" w:eastAsia="仿宋_GB2312" w:cs="仿宋_GB2312"/>
          <w:kern w:val="0"/>
          <w:sz w:val="32"/>
          <w:szCs w:val="32"/>
        </w:rPr>
        <w:t>万元，为事业单位按规定提取的专用结余、缴纳所得税和转入非财政拨款结余等。</w:t>
      </w:r>
      <w:r>
        <w:rPr>
          <w:rFonts w:hint="eastAsia" w:ascii="仿宋_GB2312" w:hAnsi="黑体" w:eastAsia="仿宋_GB2312" w:cs="仿宋_GB2312"/>
          <w:kern w:val="0"/>
          <w:sz w:val="32"/>
          <w:szCs w:val="32"/>
        </w:rPr>
        <w:t>较2020年度决算数减少8</w:t>
      </w:r>
      <w:r>
        <w:rPr>
          <w:rFonts w:ascii="仿宋_GB2312" w:hAnsi="黑体" w:eastAsia="仿宋_GB2312" w:cs="仿宋_GB2312"/>
          <w:kern w:val="0"/>
          <w:sz w:val="32"/>
          <w:szCs w:val="32"/>
        </w:rPr>
        <w:t>4.45</w:t>
      </w:r>
      <w:r>
        <w:rPr>
          <w:rFonts w:hint="eastAsia" w:ascii="仿宋_GB2312" w:hAnsi="黑体" w:eastAsia="仿宋_GB2312" w:cs="仿宋_GB2312"/>
          <w:kern w:val="0"/>
          <w:sz w:val="32"/>
          <w:szCs w:val="32"/>
        </w:rPr>
        <w:t>万元，下降1</w:t>
      </w:r>
      <w:r>
        <w:rPr>
          <w:rFonts w:ascii="仿宋_GB2312" w:hAnsi="黑体" w:eastAsia="仿宋_GB2312" w:cs="仿宋_GB2312"/>
          <w:kern w:val="0"/>
          <w:sz w:val="32"/>
          <w:szCs w:val="32"/>
        </w:rPr>
        <w:t>0.46</w:t>
      </w:r>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rPr>
          <w:rFonts w:ascii="仿宋_GB2312" w:eastAsia="仿宋_GB2312" w:cs="仿宋_GB2312"/>
          <w:kern w:val="0"/>
          <w:sz w:val="32"/>
          <w:szCs w:val="32"/>
        </w:rPr>
      </w:pPr>
      <w:r>
        <w:rPr>
          <w:rFonts w:ascii="仿宋_GB2312" w:eastAsia="仿宋_GB2312"/>
          <w:bCs/>
          <w:kern w:val="0"/>
          <w:sz w:val="32"/>
          <w:szCs w:val="32"/>
        </w:rPr>
        <w:t>10</w:t>
      </w:r>
      <w:r>
        <w:rPr>
          <w:rFonts w:hint="eastAsia" w:ascii="仿宋_GB2312" w:eastAsia="仿宋_GB2312" w:cs="仿宋_GB2312"/>
          <w:kern w:val="0"/>
          <w:sz w:val="32"/>
          <w:szCs w:val="32"/>
        </w:rPr>
        <w:t>.年末结转和结余9</w:t>
      </w:r>
      <w:r>
        <w:rPr>
          <w:rFonts w:ascii="仿宋_GB2312" w:eastAsia="仿宋_GB2312" w:cs="仿宋_GB2312"/>
          <w:kern w:val="0"/>
          <w:sz w:val="32"/>
          <w:szCs w:val="32"/>
        </w:rPr>
        <w:t>,288.29</w:t>
      </w:r>
      <w:r>
        <w:rPr>
          <w:rFonts w:hint="eastAsia" w:ascii="仿宋_GB2312" w:eastAsia="仿宋_GB2312" w:cs="仿宋_GB2312"/>
          <w:kern w:val="0"/>
          <w:sz w:val="32"/>
          <w:szCs w:val="32"/>
        </w:rPr>
        <w:t>万元，为本年度或以前年度预算安排、因客观条件发生变化无法按原计划实施，需要延迟到以后年度按有关规定继续使用的资金，该资金为我校科研经费结转结余资金。</w:t>
      </w:r>
      <w:r>
        <w:rPr>
          <w:rFonts w:hint="eastAsia" w:ascii="仿宋_GB2312" w:hAnsi="黑体" w:eastAsia="仿宋_GB2312" w:cs="仿宋_GB2312"/>
          <w:kern w:val="0"/>
          <w:sz w:val="32"/>
          <w:szCs w:val="32"/>
        </w:rPr>
        <w:t>较2020年度决算数减少4</w:t>
      </w:r>
      <w:r>
        <w:rPr>
          <w:rFonts w:ascii="仿宋_GB2312" w:hAnsi="黑体" w:eastAsia="仿宋_GB2312" w:cs="仿宋_GB2312"/>
          <w:kern w:val="0"/>
          <w:sz w:val="32"/>
          <w:szCs w:val="32"/>
        </w:rPr>
        <w:t>40.25</w:t>
      </w:r>
      <w:r>
        <w:rPr>
          <w:rFonts w:hint="eastAsia" w:ascii="仿宋_GB2312" w:hAnsi="黑体" w:eastAsia="仿宋_GB2312" w:cs="仿宋_GB2312"/>
          <w:kern w:val="0"/>
          <w:sz w:val="32"/>
          <w:szCs w:val="32"/>
        </w:rPr>
        <w:t>万元，下降4</w:t>
      </w:r>
      <w:r>
        <w:rPr>
          <w:rFonts w:ascii="仿宋_GB2312" w:hAnsi="黑体" w:eastAsia="仿宋_GB2312" w:cs="仿宋_GB2312"/>
          <w:kern w:val="0"/>
          <w:sz w:val="32"/>
          <w:szCs w:val="32"/>
        </w:rPr>
        <w:t>.53</w:t>
      </w:r>
      <w:r>
        <w:rPr>
          <w:rFonts w:hint="eastAsia" w:ascii="仿宋_GB2312" w:hAnsi="黑体" w:eastAsia="仿宋_GB2312" w:cs="仿宋_GB2312"/>
          <w:kern w:val="0"/>
          <w:sz w:val="32"/>
          <w:szCs w:val="32"/>
        </w:rPr>
        <w:t>%。</w:t>
      </w:r>
    </w:p>
    <w:p>
      <w:pPr>
        <w:autoSpaceDE w:val="0"/>
        <w:autoSpaceDN w:val="0"/>
        <w:adjustRightInd w:val="0"/>
        <w:spacing w:line="560" w:lineRule="exact"/>
        <w:ind w:right="-506" w:rightChars="-241"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rPr>
        <w:t>2021</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right="-34" w:rightChars="-16" w:firstLine="640" w:firstLineChars="200"/>
        <w:rPr>
          <w:rFonts w:ascii="仿宋_GB2312" w:eastAsia="仿宋_GB2312" w:cs="仿宋_GB2312"/>
          <w:kern w:val="0"/>
          <w:sz w:val="32"/>
          <w:szCs w:val="32"/>
        </w:rPr>
      </w:pPr>
      <w:r>
        <w:rPr>
          <w:rFonts w:hint="eastAsia" w:ascii="仿宋_GB2312" w:hAnsi="黑体" w:eastAsia="仿宋_GB2312"/>
          <w:bCs/>
          <w:color w:val="000000"/>
          <w:sz w:val="32"/>
          <w:szCs w:val="32"/>
          <w:u w:val="single"/>
        </w:rPr>
        <w:t xml:space="preserve">  南宁师范大学  </w:t>
      </w:r>
      <w:r>
        <w:rPr>
          <w:rFonts w:hint="eastAsia" w:ascii="仿宋_GB2312" w:eastAsia="仿宋_GB2312"/>
          <w:kern w:val="0"/>
          <w:sz w:val="32"/>
          <w:szCs w:val="32"/>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公共预算财政拨款支出6</w:t>
      </w:r>
      <w:r>
        <w:rPr>
          <w:rFonts w:ascii="仿宋_GB2312" w:eastAsia="仿宋_GB2312" w:cs="仿宋_GB2312"/>
          <w:kern w:val="0"/>
          <w:sz w:val="32"/>
          <w:szCs w:val="32"/>
        </w:rPr>
        <w:t>7,990.30</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较2020年度决算数增加2</w:t>
      </w:r>
      <w:r>
        <w:rPr>
          <w:rFonts w:ascii="仿宋_GB2312" w:hAnsi="黑体" w:eastAsia="仿宋_GB2312" w:cs="仿宋_GB2312"/>
          <w:kern w:val="0"/>
          <w:sz w:val="32"/>
          <w:szCs w:val="32"/>
        </w:rPr>
        <w:t>6,227.80</w:t>
      </w:r>
      <w:r>
        <w:rPr>
          <w:rFonts w:hint="eastAsia" w:ascii="仿宋_GB2312" w:hAnsi="黑体" w:eastAsia="仿宋_GB2312" w:cs="仿宋_GB2312"/>
          <w:kern w:val="0"/>
          <w:sz w:val="32"/>
          <w:szCs w:val="32"/>
        </w:rPr>
        <w:t>万元，增长6</w:t>
      </w:r>
      <w:r>
        <w:rPr>
          <w:rFonts w:ascii="仿宋_GB2312" w:hAnsi="黑体" w:eastAsia="仿宋_GB2312" w:cs="仿宋_GB2312"/>
          <w:kern w:val="0"/>
          <w:sz w:val="32"/>
          <w:szCs w:val="32"/>
        </w:rPr>
        <w:t>2.80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其中：基本支出1</w:t>
      </w:r>
      <w:r>
        <w:rPr>
          <w:rFonts w:ascii="仿宋_GB2312" w:eastAsia="仿宋_GB2312" w:cs="仿宋_GB2312"/>
          <w:kern w:val="0"/>
          <w:sz w:val="32"/>
          <w:szCs w:val="32"/>
        </w:rPr>
        <w:t>2,003.91</w:t>
      </w:r>
      <w:r>
        <w:rPr>
          <w:rFonts w:hint="eastAsia" w:ascii="仿宋_GB2312" w:eastAsia="仿宋_GB2312" w:cs="仿宋_GB2312"/>
          <w:kern w:val="0"/>
          <w:sz w:val="32"/>
          <w:szCs w:val="32"/>
        </w:rPr>
        <w:t>万元，项目支出5</w:t>
      </w:r>
      <w:r>
        <w:rPr>
          <w:rFonts w:ascii="仿宋_GB2312" w:eastAsia="仿宋_GB2312" w:cs="仿宋_GB2312"/>
          <w:kern w:val="0"/>
          <w:sz w:val="32"/>
          <w:szCs w:val="32"/>
        </w:rPr>
        <w:t>5,986.39</w:t>
      </w:r>
      <w:r>
        <w:rPr>
          <w:rFonts w:hint="eastAsia" w:ascii="仿宋_GB2312" w:eastAsia="仿宋_GB2312" w:cs="仿宋_GB2312"/>
          <w:kern w:val="0"/>
          <w:sz w:val="32"/>
          <w:szCs w:val="32"/>
        </w:rPr>
        <w:t>万元。</w:t>
      </w:r>
    </w:p>
    <w:p>
      <w:pPr>
        <w:autoSpaceDE w:val="0"/>
        <w:autoSpaceDN w:val="0"/>
        <w:adjustRightInd w:val="0"/>
        <w:spacing w:line="560" w:lineRule="exact"/>
        <w:ind w:right="-34" w:rightChars="-16" w:firstLine="640" w:firstLineChars="200"/>
        <w:rPr>
          <w:rFonts w:ascii="仿宋_GB2312" w:hAnsi="黑体" w:eastAsia="仿宋_GB2312" w:cs="仿宋_GB2312"/>
          <w:kern w:val="0"/>
          <w:sz w:val="32"/>
          <w:szCs w:val="32"/>
        </w:rPr>
      </w:pPr>
      <w:r>
        <w:rPr>
          <w:rFonts w:hint="eastAsia" w:ascii="仿宋_GB2312" w:hAnsi="黑体" w:eastAsia="仿宋_GB2312"/>
          <w:bCs/>
          <w:color w:val="000000"/>
          <w:sz w:val="32"/>
          <w:szCs w:val="32"/>
          <w:u w:val="single"/>
        </w:rPr>
        <w:t xml:space="preserve">  南宁师范大学  </w:t>
      </w:r>
      <w:r>
        <w:rPr>
          <w:rFonts w:hint="eastAsia" w:ascii="仿宋_GB2312" w:hAnsi="黑体" w:eastAsia="仿宋_GB2312"/>
          <w:kern w:val="0"/>
          <w:sz w:val="32"/>
          <w:szCs w:val="32"/>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公共预算财政拨款支出年初预算为3</w:t>
      </w:r>
      <w:r>
        <w:rPr>
          <w:rFonts w:ascii="仿宋_GB2312" w:hAnsi="黑体" w:eastAsia="仿宋_GB2312" w:cs="仿宋_GB2312"/>
          <w:kern w:val="0"/>
          <w:sz w:val="32"/>
          <w:szCs w:val="32"/>
        </w:rPr>
        <w:t>2,724.95</w:t>
      </w:r>
      <w:r>
        <w:rPr>
          <w:rFonts w:hint="eastAsia" w:ascii="仿宋_GB2312" w:hAnsi="黑体" w:eastAsia="仿宋_GB2312" w:cs="仿宋_GB2312"/>
          <w:kern w:val="0"/>
          <w:sz w:val="32"/>
          <w:szCs w:val="32"/>
        </w:rPr>
        <w:t>万元，支出决算为</w:t>
      </w:r>
      <w:r>
        <w:rPr>
          <w:rFonts w:ascii="仿宋_GB2312" w:hAnsi="黑体" w:eastAsia="仿宋_GB2312" w:cs="仿宋_GB2312"/>
          <w:kern w:val="0"/>
          <w:sz w:val="32"/>
          <w:szCs w:val="32"/>
        </w:rPr>
        <w:t>67,990.30</w:t>
      </w:r>
      <w:r>
        <w:rPr>
          <w:rFonts w:hint="eastAsia" w:ascii="仿宋_GB2312" w:hAnsi="黑体" w:eastAsia="仿宋_GB2312" w:cs="仿宋_GB2312"/>
          <w:kern w:val="0"/>
          <w:sz w:val="32"/>
          <w:szCs w:val="32"/>
        </w:rPr>
        <w:t>万元，完成年初预算的2</w:t>
      </w:r>
      <w:r>
        <w:rPr>
          <w:rFonts w:ascii="仿宋_GB2312" w:hAnsi="黑体" w:eastAsia="仿宋_GB2312" w:cs="仿宋_GB2312"/>
          <w:kern w:val="0"/>
          <w:sz w:val="32"/>
          <w:szCs w:val="32"/>
        </w:rPr>
        <w:t>07.76</w:t>
      </w:r>
      <w:r>
        <w:rPr>
          <w:rFonts w:hint="eastAsia" w:ascii="仿宋_GB2312" w:hAnsi="黑体" w:eastAsia="仿宋_GB2312" w:cs="仿宋_GB2312"/>
          <w:kern w:val="0"/>
          <w:sz w:val="32"/>
          <w:szCs w:val="32"/>
        </w:rPr>
        <w:t>%。</w:t>
      </w:r>
    </w:p>
    <w:p>
      <w:pPr>
        <w:autoSpaceDE w:val="0"/>
        <w:autoSpaceDN w:val="0"/>
        <w:adjustRightInd w:val="0"/>
        <w:spacing w:line="560" w:lineRule="exact"/>
        <w:ind w:right="-34" w:rightChars="-16" w:firstLine="627" w:firstLineChars="196"/>
        <w:rPr>
          <w:rFonts w:ascii="仿宋_GB2312" w:eastAsia="仿宋_GB2312" w:cs="仿宋_GB2312"/>
          <w:kern w:val="0"/>
          <w:sz w:val="32"/>
          <w:szCs w:val="32"/>
        </w:rPr>
      </w:pPr>
      <w:r>
        <w:rPr>
          <w:rFonts w:hint="eastAsia" w:ascii="仿宋_GB2312" w:eastAsia="仿宋_GB2312"/>
          <w:bCs/>
          <w:kern w:val="0"/>
          <w:sz w:val="32"/>
          <w:szCs w:val="32"/>
        </w:rPr>
        <w:t>（一）</w:t>
      </w:r>
      <w:r>
        <w:rPr>
          <w:rFonts w:hint="eastAsia" w:ascii="仿宋_GB2312" w:eastAsia="仿宋_GB2312" w:cs="仿宋_GB2312"/>
          <w:kern w:val="0"/>
          <w:sz w:val="32"/>
          <w:szCs w:val="32"/>
        </w:rPr>
        <w:t>教育支出（类）年初预算为</w:t>
      </w:r>
      <w:r>
        <w:rPr>
          <w:rFonts w:ascii="仿宋_GB2312" w:eastAsia="仿宋_GB2312" w:cs="仿宋_GB2312"/>
          <w:kern w:val="0"/>
          <w:sz w:val="32"/>
          <w:szCs w:val="32"/>
        </w:rPr>
        <w:t>86,508.04</w:t>
      </w:r>
      <w:r>
        <w:rPr>
          <w:rFonts w:hint="eastAsia" w:ascii="仿宋_GB2312" w:eastAsia="仿宋_GB2312" w:cs="仿宋_GB2312"/>
          <w:kern w:val="0"/>
          <w:sz w:val="32"/>
          <w:szCs w:val="32"/>
        </w:rPr>
        <w:t>万元，支出决算为1</w:t>
      </w:r>
      <w:r>
        <w:rPr>
          <w:rFonts w:ascii="仿宋_GB2312" w:eastAsia="仿宋_GB2312" w:cs="仿宋_GB2312"/>
          <w:kern w:val="0"/>
          <w:sz w:val="32"/>
          <w:szCs w:val="32"/>
        </w:rPr>
        <w:t>15,033.07</w:t>
      </w:r>
      <w:r>
        <w:rPr>
          <w:rFonts w:hint="eastAsia" w:ascii="仿宋_GB2312" w:eastAsia="仿宋_GB2312" w:cs="仿宋_GB2312"/>
          <w:kern w:val="0"/>
          <w:sz w:val="32"/>
          <w:szCs w:val="32"/>
        </w:rPr>
        <w:t>万元，完成年初预算的1</w:t>
      </w:r>
      <w:r>
        <w:rPr>
          <w:rFonts w:ascii="仿宋_GB2312" w:eastAsia="仿宋_GB2312" w:cs="仿宋_GB2312"/>
          <w:kern w:val="0"/>
          <w:sz w:val="32"/>
          <w:szCs w:val="32"/>
        </w:rPr>
        <w:t>32.97</w:t>
      </w:r>
      <w:r>
        <w:rPr>
          <w:rFonts w:hint="eastAsia" w:ascii="仿宋_GB2312" w:eastAsia="仿宋_GB2312" w:cs="仿宋_GB2312"/>
          <w:kern w:val="0"/>
          <w:sz w:val="32"/>
          <w:szCs w:val="32"/>
        </w:rPr>
        <w:t>%。主要原因为有相当部分专项经费在年中追加下达。</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（二）科学技术支出（类）年初预算为0万元，支出决算为</w:t>
      </w:r>
      <w:r>
        <w:rPr>
          <w:rFonts w:ascii="仿宋_GB2312" w:eastAsia="仿宋_GB2312" w:cs="仿宋_GB2312"/>
          <w:kern w:val="0"/>
          <w:sz w:val="32"/>
          <w:szCs w:val="32"/>
        </w:rPr>
        <w:t>425.23</w:t>
      </w:r>
      <w:r>
        <w:rPr>
          <w:rFonts w:hint="eastAsia" w:ascii="仿宋_GB2312" w:eastAsia="仿宋_GB2312" w:cs="仿宋_GB2312"/>
          <w:kern w:val="0"/>
          <w:sz w:val="32"/>
          <w:szCs w:val="32"/>
        </w:rPr>
        <w:t>万元。主要原因为2021年我校无该类收入，支出相应为0万元。</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（三）社会保障和就业支出（类）年初预算为1,</w:t>
      </w:r>
      <w:r>
        <w:rPr>
          <w:rFonts w:ascii="仿宋_GB2312" w:eastAsia="仿宋_GB2312" w:cs="仿宋_GB2312"/>
          <w:kern w:val="0"/>
          <w:sz w:val="32"/>
          <w:szCs w:val="32"/>
        </w:rPr>
        <w:t>559.96</w:t>
      </w:r>
      <w:r>
        <w:rPr>
          <w:rFonts w:hint="eastAsia" w:ascii="仿宋_GB2312" w:eastAsia="仿宋_GB2312" w:cs="仿宋_GB2312"/>
          <w:kern w:val="0"/>
          <w:sz w:val="32"/>
          <w:szCs w:val="32"/>
        </w:rPr>
        <w:t>万元，支出决算为</w:t>
      </w:r>
      <w:r>
        <w:rPr>
          <w:rFonts w:ascii="仿宋_GB2312" w:eastAsia="仿宋_GB2312" w:cs="仿宋_GB2312"/>
          <w:kern w:val="0"/>
          <w:sz w:val="32"/>
          <w:szCs w:val="32"/>
        </w:rPr>
        <w:t>1,769.45</w:t>
      </w:r>
      <w:r>
        <w:rPr>
          <w:rFonts w:hint="eastAsia" w:ascii="仿宋_GB2312" w:eastAsia="仿宋_GB2312" w:cs="仿宋_GB2312"/>
          <w:kern w:val="0"/>
          <w:sz w:val="32"/>
          <w:szCs w:val="32"/>
        </w:rPr>
        <w:t>万元，完成年初预算的</w:t>
      </w:r>
      <w:r>
        <w:rPr>
          <w:rFonts w:ascii="仿宋_GB2312" w:eastAsia="仿宋_GB2312" w:cs="仿宋_GB2312"/>
          <w:kern w:val="0"/>
          <w:sz w:val="32"/>
          <w:szCs w:val="32"/>
        </w:rPr>
        <w:t>113.43</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（四）卫生健康支出（类）年初预算为</w:t>
      </w:r>
      <w:r>
        <w:rPr>
          <w:rFonts w:ascii="仿宋_GB2312" w:eastAsia="仿宋_GB2312" w:cs="仿宋_GB2312"/>
          <w:kern w:val="0"/>
          <w:sz w:val="32"/>
          <w:szCs w:val="32"/>
        </w:rPr>
        <w:t>480.98</w:t>
      </w:r>
      <w:r>
        <w:rPr>
          <w:rFonts w:hint="eastAsia" w:ascii="仿宋_GB2312" w:eastAsia="仿宋_GB2312" w:cs="仿宋_GB2312"/>
          <w:kern w:val="0"/>
          <w:sz w:val="32"/>
          <w:szCs w:val="32"/>
        </w:rPr>
        <w:t>万元，支出决算为</w:t>
      </w:r>
      <w:r>
        <w:rPr>
          <w:rFonts w:ascii="仿宋_GB2312" w:eastAsia="仿宋_GB2312" w:cs="仿宋_GB2312"/>
          <w:kern w:val="0"/>
          <w:sz w:val="32"/>
          <w:szCs w:val="32"/>
        </w:rPr>
        <w:t>480.98</w:t>
      </w:r>
      <w:r>
        <w:rPr>
          <w:rFonts w:hint="eastAsia" w:ascii="仿宋_GB2312" w:eastAsia="仿宋_GB2312" w:cs="仿宋_GB2312"/>
          <w:kern w:val="0"/>
          <w:sz w:val="32"/>
          <w:szCs w:val="32"/>
        </w:rPr>
        <w:t>万元，完成年初预算的</w:t>
      </w:r>
      <w:r>
        <w:rPr>
          <w:rFonts w:ascii="仿宋_GB2312" w:eastAsia="仿宋_GB2312" w:cs="仿宋_GB2312"/>
          <w:kern w:val="0"/>
          <w:sz w:val="32"/>
          <w:szCs w:val="32"/>
        </w:rPr>
        <w:t>100</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（五）住房保障支出（类）年初预算为</w:t>
      </w:r>
      <w:r>
        <w:rPr>
          <w:rFonts w:ascii="仿宋_GB2312" w:eastAsia="仿宋_GB2312" w:cs="仿宋_GB2312"/>
          <w:kern w:val="0"/>
          <w:sz w:val="32"/>
          <w:szCs w:val="32"/>
        </w:rPr>
        <w:t>779.97</w:t>
      </w:r>
      <w:r>
        <w:rPr>
          <w:rFonts w:hint="eastAsia" w:ascii="仿宋_GB2312" w:eastAsia="仿宋_GB2312" w:cs="仿宋_GB2312"/>
          <w:kern w:val="0"/>
          <w:sz w:val="32"/>
          <w:szCs w:val="32"/>
        </w:rPr>
        <w:t>万元，支出决算为</w:t>
      </w:r>
      <w:r>
        <w:rPr>
          <w:rFonts w:ascii="仿宋_GB2312" w:eastAsia="仿宋_GB2312" w:cs="仿宋_GB2312"/>
          <w:kern w:val="0"/>
          <w:sz w:val="32"/>
          <w:szCs w:val="32"/>
        </w:rPr>
        <w:t>767.66</w:t>
      </w:r>
      <w:r>
        <w:rPr>
          <w:rFonts w:hint="eastAsia" w:ascii="仿宋_GB2312" w:eastAsia="仿宋_GB2312" w:cs="仿宋_GB2312"/>
          <w:kern w:val="0"/>
          <w:sz w:val="32"/>
          <w:szCs w:val="32"/>
        </w:rPr>
        <w:t>万元，完成年初预算的</w:t>
      </w:r>
      <w:r>
        <w:rPr>
          <w:rFonts w:ascii="仿宋_GB2312" w:eastAsia="仿宋_GB2312" w:cs="仿宋_GB2312"/>
          <w:kern w:val="0"/>
          <w:sz w:val="32"/>
          <w:szCs w:val="32"/>
        </w:rPr>
        <w:t>98.42</w:t>
      </w:r>
      <w:r>
        <w:rPr>
          <w:rFonts w:hint="eastAsia" w:ascii="仿宋_GB2312" w:eastAsia="仿宋_GB2312" w:cs="仿宋_GB2312"/>
          <w:kern w:val="0"/>
          <w:sz w:val="32"/>
          <w:szCs w:val="32"/>
        </w:rPr>
        <w:t>%。</w:t>
      </w:r>
    </w:p>
    <w:p>
      <w:pPr>
        <w:autoSpaceDE w:val="0"/>
        <w:autoSpaceDN w:val="0"/>
        <w:adjustRightInd w:val="0"/>
        <w:spacing w:line="560" w:lineRule="exact"/>
        <w:ind w:right="-15" w:rightChars="-7"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三、2021年度一般公共预算财政拨款基本支出决算情况说明</w:t>
      </w:r>
    </w:p>
    <w:p>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ascii="仿宋_GB2312" w:eastAsia="仿宋_GB2312" w:cs="仿宋_GB2312"/>
          <w:kern w:val="0"/>
          <w:sz w:val="32"/>
          <w:szCs w:val="32"/>
        </w:rPr>
        <w:t>12,003.91</w:t>
      </w:r>
      <w:r>
        <w:rPr>
          <w:rFonts w:hint="eastAsia" w:ascii="仿宋_GB2312" w:eastAsia="仿宋_GB2312" w:cs="仿宋_GB2312"/>
          <w:kern w:val="0"/>
          <w:sz w:val="32"/>
          <w:szCs w:val="32"/>
        </w:rPr>
        <w:t>万元，支出具体情况如下：</w:t>
      </w:r>
    </w:p>
    <w:p>
      <w:pPr>
        <w:autoSpaceDE w:val="0"/>
        <w:autoSpaceDN w:val="0"/>
        <w:adjustRightInd w:val="0"/>
        <w:spacing w:line="560" w:lineRule="exact"/>
        <w:ind w:right="-15" w:rightChars="-7" w:firstLine="640" w:firstLineChars="200"/>
        <w:rPr>
          <w:rFonts w:ascii="仿宋_GB2312" w:eastAsia="仿宋_GB2312"/>
          <w:bCs/>
          <w:kern w:val="0"/>
          <w:sz w:val="32"/>
          <w:szCs w:val="32"/>
        </w:rPr>
      </w:pPr>
      <w:r>
        <w:rPr>
          <w:rFonts w:hint="eastAsia" w:ascii="仿宋_GB2312" w:eastAsia="仿宋_GB2312"/>
          <w:bCs/>
          <w:kern w:val="0"/>
          <w:sz w:val="32"/>
          <w:szCs w:val="32"/>
        </w:rPr>
        <w:t>（一）工资福利支出</w:t>
      </w:r>
      <w:r>
        <w:rPr>
          <w:rFonts w:ascii="仿宋_GB2312" w:eastAsia="仿宋_GB2312"/>
          <w:bCs/>
          <w:kern w:val="0"/>
          <w:sz w:val="32"/>
          <w:szCs w:val="32"/>
        </w:rPr>
        <w:t>9,104.09</w:t>
      </w:r>
      <w:r>
        <w:rPr>
          <w:rFonts w:hint="eastAsia" w:ascii="仿宋_GB2312" w:eastAsia="仿宋_GB2312"/>
          <w:bCs/>
          <w:kern w:val="0"/>
          <w:sz w:val="32"/>
          <w:szCs w:val="32"/>
        </w:rPr>
        <w:t>万元，完成年初预算的1</w:t>
      </w:r>
      <w:r>
        <w:rPr>
          <w:rFonts w:ascii="仿宋_GB2312" w:eastAsia="仿宋_GB2312"/>
          <w:bCs/>
          <w:kern w:val="0"/>
          <w:sz w:val="32"/>
          <w:szCs w:val="32"/>
        </w:rPr>
        <w:t>00</w:t>
      </w:r>
      <w:r>
        <w:rPr>
          <w:rFonts w:hint="eastAsia" w:ascii="仿宋_GB2312" w:eastAsia="仿宋_GB2312"/>
          <w:bCs/>
          <w:kern w:val="0"/>
          <w:sz w:val="32"/>
          <w:szCs w:val="32"/>
        </w:rPr>
        <w:t>%。</w:t>
      </w:r>
    </w:p>
    <w:p>
      <w:pPr>
        <w:autoSpaceDE w:val="0"/>
        <w:autoSpaceDN w:val="0"/>
        <w:adjustRightInd w:val="0"/>
        <w:spacing w:line="560" w:lineRule="exact"/>
        <w:ind w:right="-15" w:rightChars="-7" w:firstLine="640" w:firstLineChars="200"/>
        <w:rPr>
          <w:rFonts w:ascii="仿宋_GB2312" w:eastAsia="仿宋_GB2312"/>
          <w:bCs/>
          <w:kern w:val="0"/>
          <w:sz w:val="32"/>
          <w:szCs w:val="32"/>
        </w:rPr>
      </w:pPr>
      <w:r>
        <w:rPr>
          <w:rFonts w:hint="eastAsia" w:ascii="仿宋_GB2312" w:eastAsia="仿宋_GB2312"/>
          <w:bCs/>
          <w:kern w:val="0"/>
          <w:sz w:val="32"/>
          <w:szCs w:val="32"/>
        </w:rPr>
        <w:t>（二）商品和服务支出1</w:t>
      </w:r>
      <w:r>
        <w:rPr>
          <w:rFonts w:ascii="仿宋_GB2312" w:eastAsia="仿宋_GB2312"/>
          <w:bCs/>
          <w:kern w:val="0"/>
          <w:sz w:val="32"/>
          <w:szCs w:val="32"/>
        </w:rPr>
        <w:t>,540.85</w:t>
      </w:r>
      <w:r>
        <w:rPr>
          <w:rFonts w:hint="eastAsia" w:ascii="仿宋_GB2312" w:eastAsia="仿宋_GB2312"/>
          <w:bCs/>
          <w:kern w:val="0"/>
          <w:sz w:val="32"/>
          <w:szCs w:val="32"/>
        </w:rPr>
        <w:t>万元，完成年初预算的1</w:t>
      </w:r>
      <w:r>
        <w:rPr>
          <w:rFonts w:ascii="仿宋_GB2312" w:eastAsia="仿宋_GB2312"/>
          <w:bCs/>
          <w:kern w:val="0"/>
          <w:sz w:val="32"/>
          <w:szCs w:val="32"/>
        </w:rPr>
        <w:t>00</w:t>
      </w:r>
      <w:r>
        <w:rPr>
          <w:rFonts w:hint="eastAsia" w:ascii="仿宋_GB2312" w:eastAsia="仿宋_GB2312"/>
          <w:bCs/>
          <w:kern w:val="0"/>
          <w:sz w:val="32"/>
          <w:szCs w:val="32"/>
        </w:rPr>
        <w:t>%。</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仿宋_GB2312" w:eastAsia="仿宋_GB2312"/>
          <w:bCs/>
          <w:kern w:val="0"/>
          <w:sz w:val="32"/>
          <w:szCs w:val="32"/>
        </w:rPr>
        <w:t>（三）对个人和家庭补助支出</w:t>
      </w:r>
      <w:r>
        <w:rPr>
          <w:rFonts w:ascii="仿宋_GB2312" w:eastAsia="仿宋_GB2312"/>
          <w:bCs/>
          <w:kern w:val="0"/>
          <w:sz w:val="32"/>
          <w:szCs w:val="32"/>
        </w:rPr>
        <w:t>1,358.97</w:t>
      </w:r>
      <w:r>
        <w:rPr>
          <w:rFonts w:hint="eastAsia" w:ascii="仿宋_GB2312" w:eastAsia="仿宋_GB2312"/>
          <w:bCs/>
          <w:kern w:val="0"/>
          <w:sz w:val="32"/>
          <w:szCs w:val="32"/>
        </w:rPr>
        <w:t>万元，完成年初预算的100%。</w:t>
      </w:r>
    </w:p>
    <w:p>
      <w:pPr>
        <w:autoSpaceDE w:val="0"/>
        <w:autoSpaceDN w:val="0"/>
        <w:adjustRightInd w:val="0"/>
        <w:spacing w:line="560" w:lineRule="exact"/>
        <w:ind w:right="-15" w:rightChars="-7"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四、2021年度政府性基金支出决算情况</w:t>
      </w:r>
    </w:p>
    <w:p>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hAnsi="黑体" w:eastAsia="仿宋_GB2312"/>
          <w:bCs/>
          <w:color w:val="000000"/>
          <w:sz w:val="32"/>
          <w:szCs w:val="32"/>
          <w:u w:val="single"/>
        </w:rPr>
        <w:t xml:space="preserve">  南宁师范大学  </w:t>
      </w:r>
      <w:r>
        <w:rPr>
          <w:rFonts w:hint="eastAsia" w:ascii="仿宋_GB2312" w:eastAsia="仿宋_GB2312"/>
          <w:kern w:val="0"/>
          <w:sz w:val="32"/>
          <w:szCs w:val="32"/>
        </w:rPr>
        <w:t>2021</w:t>
      </w:r>
      <w:r>
        <w:rPr>
          <w:rFonts w:hint="eastAsia" w:ascii="仿宋_GB2312" w:eastAsia="仿宋_GB2312" w:cs="仿宋_GB2312"/>
          <w:kern w:val="0"/>
          <w:sz w:val="32"/>
          <w:szCs w:val="32"/>
        </w:rPr>
        <w:t>年度政府性基金支出3</w:t>
      </w:r>
      <w:r>
        <w:rPr>
          <w:rFonts w:ascii="仿宋_GB2312" w:eastAsia="仿宋_GB2312" w:cs="仿宋_GB2312"/>
          <w:kern w:val="0"/>
          <w:sz w:val="32"/>
          <w:szCs w:val="32"/>
        </w:rPr>
        <w:t>6,484.49</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较2020年度决算数减少6</w:t>
      </w:r>
      <w:r>
        <w:rPr>
          <w:rFonts w:ascii="仿宋_GB2312" w:hAnsi="黑体" w:eastAsia="仿宋_GB2312" w:cs="仿宋_GB2312"/>
          <w:kern w:val="0"/>
          <w:sz w:val="32"/>
          <w:szCs w:val="32"/>
        </w:rPr>
        <w:t>,168.58</w:t>
      </w:r>
      <w:r>
        <w:rPr>
          <w:rFonts w:hint="eastAsia" w:ascii="仿宋_GB2312" w:hAnsi="黑体" w:eastAsia="仿宋_GB2312" w:cs="仿宋_GB2312"/>
          <w:kern w:val="0"/>
          <w:sz w:val="32"/>
          <w:szCs w:val="32"/>
        </w:rPr>
        <w:t>万元，下降1</w:t>
      </w:r>
      <w:r>
        <w:rPr>
          <w:rFonts w:ascii="仿宋_GB2312" w:hAnsi="黑体" w:eastAsia="仿宋_GB2312" w:cs="仿宋_GB2312"/>
          <w:kern w:val="0"/>
          <w:sz w:val="32"/>
          <w:szCs w:val="32"/>
        </w:rPr>
        <w:t>4.46</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其中：基本支出0万元，项目支出3</w:t>
      </w:r>
      <w:r>
        <w:rPr>
          <w:rFonts w:ascii="仿宋_GB2312" w:eastAsia="仿宋_GB2312" w:cs="仿宋_GB2312"/>
          <w:kern w:val="0"/>
          <w:sz w:val="32"/>
          <w:szCs w:val="32"/>
        </w:rPr>
        <w:t>6,484.49</w:t>
      </w:r>
      <w:r>
        <w:rPr>
          <w:rFonts w:hint="eastAsia" w:ascii="仿宋_GB2312" w:eastAsia="仿宋_GB2312" w:cs="仿宋_GB2312"/>
          <w:kern w:val="0"/>
          <w:sz w:val="32"/>
          <w:szCs w:val="32"/>
        </w:rPr>
        <w:t>万元。</w:t>
      </w:r>
    </w:p>
    <w:p>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hAnsi="黑体" w:eastAsia="仿宋_GB2312"/>
          <w:bCs/>
          <w:color w:val="000000"/>
          <w:sz w:val="32"/>
          <w:szCs w:val="32"/>
          <w:u w:val="single"/>
        </w:rPr>
        <w:t xml:space="preserve">  南宁师范大学  </w:t>
      </w:r>
      <w:r>
        <w:rPr>
          <w:rFonts w:hint="eastAsia" w:ascii="仿宋_GB2312" w:hAnsi="黑体" w:eastAsia="仿宋_GB2312"/>
          <w:kern w:val="0"/>
          <w:sz w:val="32"/>
          <w:szCs w:val="32"/>
        </w:rPr>
        <w:t>2021</w:t>
      </w:r>
      <w:r>
        <w:rPr>
          <w:rFonts w:hint="eastAsia" w:ascii="仿宋_GB2312" w:hAnsi="黑体" w:eastAsia="仿宋_GB2312" w:cs="仿宋_GB2312"/>
          <w:kern w:val="0"/>
          <w:sz w:val="32"/>
          <w:szCs w:val="32"/>
        </w:rPr>
        <w:t xml:space="preserve">年度政府性基金支出年初预算为   </w:t>
      </w:r>
      <w:r>
        <w:rPr>
          <w:rFonts w:ascii="仿宋_GB2312" w:hAnsi="黑体" w:eastAsia="仿宋_GB2312" w:cs="仿宋_GB2312"/>
          <w:kern w:val="0"/>
          <w:sz w:val="32"/>
          <w:szCs w:val="32"/>
        </w:rPr>
        <w:t>0</w:t>
      </w:r>
      <w:r>
        <w:rPr>
          <w:rFonts w:hint="eastAsia" w:ascii="仿宋_GB2312" w:hAnsi="黑体" w:eastAsia="仿宋_GB2312" w:cs="仿宋_GB2312"/>
          <w:kern w:val="0"/>
          <w:sz w:val="32"/>
          <w:szCs w:val="32"/>
        </w:rPr>
        <w:t>万元，支出决算为3</w:t>
      </w:r>
      <w:r>
        <w:rPr>
          <w:rFonts w:ascii="仿宋_GB2312" w:hAnsi="黑体" w:eastAsia="仿宋_GB2312" w:cs="仿宋_GB2312"/>
          <w:kern w:val="0"/>
          <w:sz w:val="32"/>
          <w:szCs w:val="32"/>
        </w:rPr>
        <w:t>6,484.49</w:t>
      </w:r>
      <w:r>
        <w:rPr>
          <w:rFonts w:hint="eastAsia" w:ascii="仿宋_GB2312" w:hAnsi="黑体" w:eastAsia="仿宋_GB2312" w:cs="仿宋_GB2312"/>
          <w:kern w:val="0"/>
          <w:sz w:val="32"/>
          <w:szCs w:val="32"/>
        </w:rPr>
        <w:t>万元。</w:t>
      </w:r>
    </w:p>
    <w:p>
      <w:pPr>
        <w:autoSpaceDE w:val="0"/>
        <w:autoSpaceDN w:val="0"/>
        <w:adjustRightInd w:val="0"/>
        <w:spacing w:line="560" w:lineRule="exact"/>
        <w:ind w:right="-15" w:rightChars="-7" w:firstLine="627" w:firstLineChars="196"/>
        <w:rPr>
          <w:rFonts w:ascii="仿宋_GB2312" w:eastAsia="仿宋_GB2312" w:cs="仿宋_GB2312"/>
          <w:kern w:val="0"/>
          <w:sz w:val="32"/>
          <w:szCs w:val="32"/>
        </w:rPr>
      </w:pPr>
      <w:r>
        <w:rPr>
          <w:rFonts w:hint="eastAsia" w:ascii="仿宋_GB2312" w:eastAsia="仿宋_GB2312"/>
          <w:bCs/>
          <w:kern w:val="0"/>
          <w:sz w:val="32"/>
          <w:szCs w:val="32"/>
        </w:rPr>
        <w:t>（一）</w:t>
      </w:r>
      <w:r>
        <w:rPr>
          <w:rFonts w:hint="eastAsia" w:ascii="仿宋_GB2312" w:eastAsia="仿宋_GB2312" w:cs="仿宋_GB2312"/>
          <w:kern w:val="0"/>
          <w:sz w:val="32"/>
          <w:szCs w:val="32"/>
        </w:rPr>
        <w:t>资本性支出（类）</w:t>
      </w:r>
      <w:r>
        <w:rPr>
          <w:rFonts w:hint="eastAsia" w:ascii="仿宋_GB2312" w:hAnsi="黑体" w:eastAsia="仿宋_GB2312" w:cs="仿宋_GB2312"/>
          <w:kern w:val="0"/>
          <w:sz w:val="32"/>
          <w:szCs w:val="32"/>
        </w:rPr>
        <w:t>年初预算为</w:t>
      </w:r>
      <w:r>
        <w:rPr>
          <w:rFonts w:ascii="仿宋_GB2312" w:hAnsi="黑体" w:eastAsia="仿宋_GB2312" w:cs="仿宋_GB2312"/>
          <w:kern w:val="0"/>
          <w:sz w:val="32"/>
          <w:szCs w:val="32"/>
        </w:rPr>
        <w:t>0</w:t>
      </w:r>
      <w:r>
        <w:rPr>
          <w:rFonts w:hint="eastAsia" w:ascii="仿宋_GB2312" w:hAnsi="黑体" w:eastAsia="仿宋_GB2312" w:cs="仿宋_GB2312"/>
          <w:kern w:val="0"/>
          <w:sz w:val="32"/>
          <w:szCs w:val="32"/>
        </w:rPr>
        <w:t>万元，支出决算为3</w:t>
      </w:r>
      <w:r>
        <w:rPr>
          <w:rFonts w:ascii="仿宋_GB2312" w:hAnsi="黑体" w:eastAsia="仿宋_GB2312" w:cs="仿宋_GB2312"/>
          <w:kern w:val="0"/>
          <w:sz w:val="32"/>
          <w:szCs w:val="32"/>
        </w:rPr>
        <w:t>6,484.49</w:t>
      </w:r>
      <w:r>
        <w:rPr>
          <w:rFonts w:hint="eastAsia" w:ascii="仿宋_GB2312" w:hAnsi="黑体" w:eastAsia="仿宋_GB2312" w:cs="仿宋_GB2312"/>
          <w:kern w:val="0"/>
          <w:sz w:val="32"/>
          <w:szCs w:val="32"/>
        </w:rPr>
        <w:t>万元，为年中追加经费，</w:t>
      </w:r>
      <w:r>
        <w:rPr>
          <w:rFonts w:hint="eastAsia" w:ascii="仿宋_GB2312" w:eastAsia="仿宋_GB2312" w:cs="仿宋_GB2312"/>
          <w:kern w:val="0"/>
          <w:sz w:val="32"/>
          <w:szCs w:val="32"/>
        </w:rPr>
        <w:t>主要用于我校武鸣校区的其他政府性基金及对应专项债务收入安排的支出。</w:t>
      </w:r>
    </w:p>
    <w:p>
      <w:pPr>
        <w:autoSpaceDE w:val="0"/>
        <w:autoSpaceDN w:val="0"/>
        <w:adjustRightInd w:val="0"/>
        <w:spacing w:line="560" w:lineRule="exact"/>
        <w:ind w:right="-15" w:rightChars="-7"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五、2021年度国有资本经营预算支出决算情况</w:t>
      </w:r>
    </w:p>
    <w:p>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hAnsi="黑体" w:eastAsia="仿宋_GB2312"/>
          <w:bCs/>
          <w:color w:val="000000"/>
          <w:sz w:val="32"/>
          <w:szCs w:val="32"/>
          <w:u w:val="single"/>
        </w:rPr>
        <w:t xml:space="preserve">  南宁师范大学  </w:t>
      </w:r>
      <w:r>
        <w:rPr>
          <w:rFonts w:hint="eastAsia" w:ascii="仿宋_GB2312" w:eastAsia="仿宋_GB2312"/>
          <w:kern w:val="0"/>
          <w:sz w:val="32"/>
          <w:szCs w:val="32"/>
        </w:rPr>
        <w:t>2021</w:t>
      </w:r>
      <w:r>
        <w:rPr>
          <w:rFonts w:hint="eastAsia" w:ascii="仿宋_GB2312" w:eastAsia="仿宋_GB2312" w:cs="仿宋_GB2312"/>
          <w:kern w:val="0"/>
          <w:sz w:val="32"/>
          <w:szCs w:val="32"/>
        </w:rPr>
        <w:t>年度国有资本经营预算支出0万元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ascii="仿宋_GB2312" w:eastAsia="仿宋_GB2312"/>
          <w:kern w:val="0"/>
          <w:sz w:val="32"/>
          <w:szCs w:val="32"/>
        </w:rPr>
        <w:t>0</w:t>
      </w:r>
      <w:r>
        <w:rPr>
          <w:rFonts w:hint="eastAsia" w:ascii="仿宋_GB2312" w:eastAsia="仿宋_GB2312" w:cs="仿宋_GB2312"/>
          <w:kern w:val="0"/>
          <w:sz w:val="32"/>
          <w:szCs w:val="32"/>
        </w:rPr>
        <w:t>万元，项目支出0万元。</w:t>
      </w:r>
    </w:p>
    <w:p>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hAnsi="黑体" w:eastAsia="仿宋_GB2312"/>
          <w:bCs/>
          <w:color w:val="000000"/>
          <w:sz w:val="32"/>
          <w:szCs w:val="32"/>
          <w:u w:val="single"/>
        </w:rPr>
        <w:t xml:space="preserve">  南宁师范大学  </w:t>
      </w:r>
      <w:r>
        <w:rPr>
          <w:rFonts w:hint="eastAsia" w:ascii="仿宋_GB2312" w:hAnsi="黑体" w:eastAsia="仿宋_GB2312"/>
          <w:kern w:val="0"/>
          <w:sz w:val="32"/>
          <w:szCs w:val="32"/>
        </w:rPr>
        <w:t>2021</w:t>
      </w:r>
      <w:r>
        <w:rPr>
          <w:rFonts w:hint="eastAsia" w:ascii="仿宋_GB2312" w:hAnsi="黑体" w:eastAsia="仿宋_GB2312" w:cs="仿宋_GB2312"/>
          <w:kern w:val="0"/>
          <w:sz w:val="32"/>
          <w:szCs w:val="32"/>
        </w:rPr>
        <w:t>年度</w:t>
      </w:r>
      <w:r>
        <w:rPr>
          <w:rFonts w:hint="eastAsia" w:ascii="仿宋_GB2312" w:eastAsia="仿宋_GB2312" w:cs="仿宋_GB2312"/>
          <w:kern w:val="0"/>
          <w:sz w:val="32"/>
          <w:szCs w:val="32"/>
        </w:rPr>
        <w:t>国有资本经营预算</w:t>
      </w:r>
      <w:r>
        <w:rPr>
          <w:rFonts w:hint="eastAsia" w:ascii="仿宋_GB2312" w:hAnsi="黑体" w:eastAsia="仿宋_GB2312" w:cs="仿宋_GB2312"/>
          <w:kern w:val="0"/>
          <w:sz w:val="32"/>
          <w:szCs w:val="32"/>
        </w:rPr>
        <w:t>支出年初预算为0万元，支出决算为0万元。</w:t>
      </w:r>
    </w:p>
    <w:p>
      <w:pPr>
        <w:autoSpaceDE w:val="0"/>
        <w:autoSpaceDN w:val="0"/>
        <w:adjustRightInd w:val="0"/>
        <w:spacing w:line="560" w:lineRule="exact"/>
        <w:ind w:right="-15" w:rightChars="-7"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公共预算财政拨款安排的“三公”经费支出0万元，与上年一致。其中：因公出国（境）费支出决算</w:t>
      </w:r>
      <w:r>
        <w:rPr>
          <w:rFonts w:ascii="仿宋_GB2312" w:eastAsia="仿宋_GB2312" w:cs="仿宋_GB2312"/>
          <w:kern w:val="0"/>
          <w:sz w:val="32"/>
          <w:szCs w:val="32"/>
        </w:rPr>
        <w:t>0</w:t>
      </w:r>
      <w:r>
        <w:rPr>
          <w:rFonts w:hint="eastAsia" w:ascii="仿宋_GB2312" w:eastAsia="仿宋_GB2312" w:cs="仿宋_GB2312"/>
          <w:kern w:val="0"/>
          <w:sz w:val="32"/>
          <w:szCs w:val="32"/>
        </w:rPr>
        <w:t>万元，公务用车购置及运行费支出决算</w:t>
      </w:r>
      <w:r>
        <w:rPr>
          <w:rFonts w:ascii="仿宋_GB2312" w:eastAsia="仿宋_GB2312" w:cs="仿宋_GB2312"/>
          <w:kern w:val="0"/>
          <w:sz w:val="32"/>
          <w:szCs w:val="32"/>
        </w:rPr>
        <w:t>0</w:t>
      </w:r>
      <w:r>
        <w:rPr>
          <w:rFonts w:hint="eastAsia" w:ascii="仿宋_GB2312" w:eastAsia="仿宋_GB2312" w:cs="仿宋_GB2312"/>
          <w:kern w:val="0"/>
          <w:sz w:val="32"/>
          <w:szCs w:val="32"/>
        </w:rPr>
        <w:t>万元，公务接待费支出决算0万元。</w:t>
      </w:r>
    </w:p>
    <w:p>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right="-15" w:rightChars="-7" w:firstLine="640" w:firstLineChars="200"/>
        <w:rPr>
          <w:rFonts w:ascii="仿宋_GB2312" w:hAnsi="黑体" w:eastAsia="仿宋_GB2312"/>
          <w:bCs/>
          <w:color w:val="000000"/>
          <w:sz w:val="32"/>
          <w:szCs w:val="32"/>
        </w:rPr>
      </w:pPr>
      <w:r>
        <w:rPr>
          <w:rFonts w:hint="eastAsia" w:ascii="仿宋_GB2312" w:eastAsia="仿宋_GB2312" w:cs="仿宋_GB2312"/>
          <w:kern w:val="0"/>
          <w:sz w:val="32"/>
          <w:szCs w:val="32"/>
        </w:rPr>
        <w:t>（一）因公出国（境）费支出</w:t>
      </w:r>
      <w:r>
        <w:rPr>
          <w:rFonts w:ascii="仿宋_GB2312" w:eastAsia="仿宋_GB2312" w:cs="仿宋_GB2312"/>
          <w:kern w:val="0"/>
          <w:sz w:val="32"/>
          <w:szCs w:val="32"/>
        </w:rPr>
        <w:t>0</w:t>
      </w:r>
      <w:r>
        <w:rPr>
          <w:rFonts w:hint="eastAsia" w:ascii="仿宋_GB2312" w:eastAsia="仿宋_GB2312" w:cs="仿宋_GB2312"/>
          <w:kern w:val="0"/>
          <w:sz w:val="32"/>
          <w:szCs w:val="32"/>
        </w:rPr>
        <w:t>万元。全年使用财政拨款安排</w:t>
      </w:r>
      <w:r>
        <w:rPr>
          <w:rFonts w:ascii="仿宋_GB2312" w:hAnsi="黑体" w:eastAsia="仿宋_GB2312"/>
          <w:bCs/>
          <w:color w:val="000000"/>
          <w:sz w:val="32"/>
          <w:szCs w:val="32"/>
        </w:rPr>
        <w:t>0</w:t>
      </w:r>
      <w:r>
        <w:rPr>
          <w:rFonts w:hint="eastAsia" w:ascii="仿宋_GB2312" w:hAnsi="黑体" w:eastAsia="仿宋_GB2312"/>
          <w:bCs/>
          <w:color w:val="000000"/>
          <w:sz w:val="32"/>
          <w:szCs w:val="32"/>
        </w:rPr>
        <w:t>个所属单位出国团组0个，参加其他单位组织的出国团组</w:t>
      </w:r>
      <w:r>
        <w:rPr>
          <w:rFonts w:ascii="仿宋_GB2312" w:hAnsi="黑体" w:eastAsia="仿宋_GB2312"/>
          <w:bCs/>
          <w:color w:val="000000"/>
          <w:sz w:val="32"/>
          <w:szCs w:val="32"/>
        </w:rPr>
        <w:t>0</w:t>
      </w:r>
      <w:r>
        <w:rPr>
          <w:rFonts w:hint="eastAsia" w:ascii="仿宋_GB2312" w:hAnsi="黑体" w:eastAsia="仿宋_GB2312"/>
          <w:bCs/>
          <w:color w:val="000000"/>
          <w:sz w:val="32"/>
          <w:szCs w:val="32"/>
        </w:rPr>
        <w:t>个，全年因公出国（境）团组共计</w:t>
      </w:r>
      <w:r>
        <w:rPr>
          <w:rFonts w:ascii="仿宋_GB2312" w:hAnsi="黑体" w:eastAsia="仿宋_GB2312"/>
          <w:bCs/>
          <w:color w:val="000000"/>
          <w:sz w:val="32"/>
          <w:szCs w:val="32"/>
        </w:rPr>
        <w:t>0</w:t>
      </w:r>
      <w:r>
        <w:rPr>
          <w:rFonts w:hint="eastAsia" w:ascii="仿宋_GB2312" w:hAnsi="黑体" w:eastAsia="仿宋_GB2312"/>
          <w:bCs/>
          <w:color w:val="000000"/>
          <w:sz w:val="32"/>
          <w:szCs w:val="32"/>
        </w:rPr>
        <w:t>个，累计0人次。</w:t>
      </w:r>
    </w:p>
    <w:p>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（二）公务用车购置及运行费支出</w:t>
      </w:r>
      <w:r>
        <w:rPr>
          <w:rFonts w:ascii="仿宋_GB2312" w:eastAsia="仿宋_GB2312" w:cs="仿宋_GB2312"/>
          <w:kern w:val="0"/>
          <w:sz w:val="32"/>
          <w:szCs w:val="32"/>
        </w:rPr>
        <w:t>0</w:t>
      </w:r>
      <w:r>
        <w:rPr>
          <w:rFonts w:hint="eastAsia" w:ascii="仿宋_GB2312" w:eastAsia="仿宋_GB2312" w:cs="仿宋_GB2312"/>
          <w:kern w:val="0"/>
          <w:sz w:val="32"/>
          <w:szCs w:val="32"/>
        </w:rPr>
        <w:t>万元。其中：</w:t>
      </w:r>
    </w:p>
    <w:p>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公务用车购置支出</w:t>
      </w:r>
      <w:r>
        <w:rPr>
          <w:rFonts w:ascii="仿宋_GB2312" w:eastAsia="仿宋_GB2312" w:cs="仿宋_GB2312"/>
          <w:kern w:val="0"/>
          <w:sz w:val="32"/>
          <w:szCs w:val="32"/>
        </w:rPr>
        <w:t>0</w:t>
      </w:r>
      <w:r>
        <w:rPr>
          <w:rFonts w:hint="eastAsia" w:ascii="仿宋_GB2312" w:eastAsia="仿宋_GB2312" w:cs="仿宋_GB2312"/>
          <w:kern w:val="0"/>
          <w:sz w:val="32"/>
          <w:szCs w:val="32"/>
        </w:rPr>
        <w:t>万元，购置了0辆公务用车。</w:t>
      </w:r>
    </w:p>
    <w:p>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公务用车运行支出</w:t>
      </w:r>
      <w:r>
        <w:rPr>
          <w:rFonts w:ascii="仿宋_GB2312" w:eastAsia="仿宋_GB2312" w:cs="仿宋_GB2312"/>
          <w:kern w:val="0"/>
          <w:sz w:val="32"/>
          <w:szCs w:val="32"/>
        </w:rPr>
        <w:t>0</w:t>
      </w:r>
      <w:r>
        <w:rPr>
          <w:rFonts w:hint="eastAsia" w:ascii="仿宋_GB2312" w:eastAsia="仿宋_GB2312" w:cs="仿宋_GB2312"/>
          <w:kern w:val="0"/>
          <w:sz w:val="32"/>
          <w:szCs w:val="32"/>
        </w:rPr>
        <w:t>万元，主要用于机要文件交换、市内因公出行以及开展业务所需车辆燃料费、维修费、过路过桥费、保险费等。2021年，</w:t>
      </w:r>
      <w:r>
        <w:rPr>
          <w:rFonts w:hint="eastAsia" w:ascii="仿宋_GB2312" w:hAnsi="黑体" w:eastAsia="仿宋_GB2312"/>
          <w:bCs/>
          <w:color w:val="000000"/>
          <w:sz w:val="32"/>
          <w:szCs w:val="32"/>
          <w:u w:val="single"/>
        </w:rPr>
        <w:t xml:space="preserve">  南宁师范大学  </w:t>
      </w:r>
      <w:r>
        <w:rPr>
          <w:rFonts w:hint="eastAsia" w:ascii="仿宋_GB2312" w:hAnsi="黑体" w:eastAsia="仿宋_GB2312"/>
          <w:bCs/>
          <w:color w:val="000000"/>
          <w:sz w:val="32"/>
          <w:szCs w:val="32"/>
        </w:rPr>
        <w:t>所属单位开支财政拨款的公务用车保有量为</w:t>
      </w:r>
      <w:r>
        <w:rPr>
          <w:rFonts w:ascii="仿宋_GB2312" w:hAnsi="黑体" w:eastAsia="仿宋_GB2312"/>
          <w:bCs/>
          <w:color w:val="000000"/>
          <w:sz w:val="32"/>
          <w:szCs w:val="32"/>
        </w:rPr>
        <w:t>0</w:t>
      </w:r>
      <w:r>
        <w:rPr>
          <w:rFonts w:hint="eastAsia" w:ascii="仿宋_GB2312" w:hAnsi="黑体" w:eastAsia="仿宋_GB2312"/>
          <w:bCs/>
          <w:color w:val="000000"/>
          <w:sz w:val="32"/>
          <w:szCs w:val="32"/>
        </w:rPr>
        <w:t>辆，全年运行费支出</w:t>
      </w:r>
      <w:r>
        <w:rPr>
          <w:rFonts w:ascii="仿宋_GB2312" w:hAnsi="黑体" w:eastAsia="仿宋_GB2312"/>
          <w:bCs/>
          <w:color w:val="000000"/>
          <w:sz w:val="32"/>
          <w:szCs w:val="32"/>
        </w:rPr>
        <w:t>0</w:t>
      </w:r>
      <w:r>
        <w:rPr>
          <w:rFonts w:hint="eastAsia" w:ascii="仿宋_GB2312" w:hAnsi="黑体" w:eastAsia="仿宋_GB2312"/>
          <w:bCs/>
          <w:color w:val="000000"/>
          <w:sz w:val="32"/>
          <w:szCs w:val="32"/>
        </w:rPr>
        <w:t>万元，平均每辆0万元。</w:t>
      </w:r>
    </w:p>
    <w:p>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（三）公务接待费支出</w:t>
      </w:r>
      <w:r>
        <w:rPr>
          <w:rFonts w:ascii="仿宋_GB2312" w:eastAsia="仿宋_GB2312" w:cs="仿宋_GB2312"/>
          <w:kern w:val="0"/>
          <w:sz w:val="32"/>
          <w:szCs w:val="32"/>
        </w:rPr>
        <w:t>0</w:t>
      </w:r>
      <w:r>
        <w:rPr>
          <w:rFonts w:hint="eastAsia" w:ascii="仿宋_GB2312" w:eastAsia="仿宋_GB2312" w:cs="仿宋_GB2312"/>
          <w:kern w:val="0"/>
          <w:sz w:val="32"/>
          <w:szCs w:val="32"/>
        </w:rPr>
        <w:t>万元，国内公务接待批次</w:t>
      </w:r>
      <w:r>
        <w:rPr>
          <w:rFonts w:ascii="仿宋_GB2312" w:eastAsia="仿宋_GB2312" w:cs="仿宋_GB2312"/>
          <w:kern w:val="0"/>
          <w:sz w:val="32"/>
          <w:szCs w:val="32"/>
        </w:rPr>
        <w:t>0</w:t>
      </w:r>
      <w:r>
        <w:rPr>
          <w:rFonts w:hint="eastAsia" w:ascii="仿宋_GB2312" w:eastAsia="仿宋_GB2312" w:cs="仿宋_GB2312"/>
          <w:kern w:val="0"/>
          <w:sz w:val="32"/>
          <w:szCs w:val="32"/>
        </w:rPr>
        <w:t>次，人次0次，国（境）外公务接待批次</w:t>
      </w:r>
      <w:r>
        <w:rPr>
          <w:rFonts w:ascii="仿宋_GB2312" w:eastAsia="仿宋_GB2312" w:cs="仿宋_GB2312"/>
          <w:kern w:val="0"/>
          <w:sz w:val="32"/>
          <w:szCs w:val="32"/>
        </w:rPr>
        <w:t>0</w:t>
      </w:r>
      <w:r>
        <w:rPr>
          <w:rFonts w:hint="eastAsia" w:ascii="仿宋_GB2312" w:eastAsia="仿宋_GB2312" w:cs="仿宋_GB2312"/>
          <w:kern w:val="0"/>
          <w:sz w:val="32"/>
          <w:szCs w:val="32"/>
        </w:rPr>
        <w:t>次，人次</w:t>
      </w:r>
      <w:r>
        <w:rPr>
          <w:rFonts w:ascii="仿宋_GB2312" w:eastAsia="仿宋_GB2312" w:cs="仿宋_GB2312"/>
          <w:kern w:val="0"/>
          <w:sz w:val="32"/>
          <w:szCs w:val="32"/>
        </w:rPr>
        <w:t>0</w:t>
      </w:r>
      <w:r>
        <w:rPr>
          <w:rFonts w:hint="eastAsia" w:ascii="仿宋_GB2312" w:eastAsia="仿宋_GB2312" w:cs="仿宋_GB2312"/>
          <w:kern w:val="0"/>
          <w:sz w:val="32"/>
          <w:szCs w:val="32"/>
        </w:rPr>
        <w:t>次。</w:t>
      </w:r>
    </w:p>
    <w:p>
      <w:pPr>
        <w:autoSpaceDE w:val="0"/>
        <w:autoSpaceDN w:val="0"/>
        <w:adjustRightInd w:val="0"/>
        <w:spacing w:line="560" w:lineRule="exact"/>
        <w:ind w:right="-15" w:rightChars="-7" w:firstLine="627" w:firstLineChars="196"/>
        <w:rPr>
          <w:rFonts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right="-15" w:rightChars="-7" w:firstLine="640" w:firstLineChars="200"/>
        <w:rPr>
          <w:rFonts w:ascii="楷体_GB2312" w:eastAsia="楷体_GB2312" w:cs="仿宋_GB2312"/>
          <w:kern w:val="0"/>
          <w:sz w:val="32"/>
          <w:szCs w:val="32"/>
        </w:rPr>
      </w:pPr>
      <w:r>
        <w:rPr>
          <w:rFonts w:hint="eastAsia" w:ascii="楷体_GB2312" w:eastAsia="楷体_GB2312" w:cs="仿宋_GB2312"/>
          <w:kern w:val="0"/>
          <w:sz w:val="32"/>
          <w:szCs w:val="32"/>
        </w:rPr>
        <w:t>（一）机关运行经费支出情况说明。</w:t>
      </w:r>
    </w:p>
    <w:p>
      <w:pPr>
        <w:autoSpaceDE w:val="0"/>
        <w:autoSpaceDN w:val="0"/>
        <w:adjustRightInd w:val="0"/>
        <w:spacing w:line="560" w:lineRule="exact"/>
        <w:ind w:right="-15" w:rightChars="-7" w:firstLine="643" w:firstLineChars="200"/>
        <w:rPr>
          <w:rFonts w:ascii="仿宋_GB2312" w:eastAsia="仿宋_GB2312" w:cs="仿宋_GB2312"/>
          <w:b/>
          <w:kern w:val="0"/>
          <w:sz w:val="32"/>
          <w:szCs w:val="32"/>
        </w:rPr>
      </w:pPr>
      <w:r>
        <w:rPr>
          <w:rFonts w:hint="eastAsia" w:ascii="仿宋_GB2312" w:eastAsia="仿宋_GB2312" w:cs="仿宋_GB2312"/>
          <w:b/>
          <w:kern w:val="0"/>
          <w:sz w:val="32"/>
          <w:szCs w:val="32"/>
        </w:rPr>
        <w:t>本部门无机关运行经费支出。</w:t>
      </w:r>
    </w:p>
    <w:p>
      <w:pPr>
        <w:autoSpaceDE w:val="0"/>
        <w:autoSpaceDN w:val="0"/>
        <w:adjustRightInd w:val="0"/>
        <w:spacing w:line="560" w:lineRule="exact"/>
        <w:ind w:right="-15" w:rightChars="-7" w:firstLine="640" w:firstLineChars="200"/>
        <w:rPr>
          <w:rFonts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right="-15" w:rightChars="-7" w:firstLine="640" w:firstLineChars="200"/>
        <w:rPr>
          <w:rFonts w:ascii="仿宋_GB2312" w:eastAsia="仿宋_GB2312" w:cs="仿宋_GB2312"/>
          <w:color w:val="0000FF"/>
          <w:kern w:val="0"/>
          <w:sz w:val="32"/>
          <w:szCs w:val="32"/>
        </w:rPr>
      </w:pPr>
      <w:r>
        <w:rPr>
          <w:rFonts w:hint="eastAsia" w:ascii="仿宋_GB2312" w:eastAsia="仿宋_GB2312" w:cs="仿宋_GB2312"/>
          <w:kern w:val="0"/>
          <w:sz w:val="32"/>
          <w:szCs w:val="32"/>
        </w:rPr>
        <w:t>本部门2021年度政府采购支出总额</w:t>
      </w:r>
      <w:r>
        <w:rPr>
          <w:rFonts w:ascii="仿宋_GB2312" w:eastAsia="仿宋_GB2312" w:cs="仿宋_GB2312"/>
          <w:kern w:val="0"/>
          <w:sz w:val="32"/>
          <w:szCs w:val="32"/>
        </w:rPr>
        <w:t>97,939.27</w:t>
      </w:r>
      <w:r>
        <w:rPr>
          <w:rFonts w:hint="eastAsia" w:ascii="仿宋_GB2312" w:eastAsia="仿宋_GB2312" w:cs="仿宋_GB2312"/>
          <w:kern w:val="0"/>
          <w:sz w:val="32"/>
          <w:szCs w:val="32"/>
        </w:rPr>
        <w:t>万元，其中：政府采购货物支出</w:t>
      </w:r>
      <w:r>
        <w:rPr>
          <w:rFonts w:ascii="仿宋_GB2312" w:eastAsia="仿宋_GB2312" w:cs="仿宋_GB2312"/>
          <w:kern w:val="0"/>
          <w:sz w:val="32"/>
          <w:szCs w:val="32"/>
        </w:rPr>
        <w:t>4,229.62</w:t>
      </w:r>
      <w:r>
        <w:rPr>
          <w:rFonts w:hint="eastAsia" w:ascii="仿宋_GB2312" w:eastAsia="仿宋_GB2312" w:cs="仿宋_GB2312"/>
          <w:kern w:val="0"/>
          <w:sz w:val="32"/>
          <w:szCs w:val="32"/>
        </w:rPr>
        <w:t>万元、政府采购工程支出</w:t>
      </w:r>
      <w:r>
        <w:rPr>
          <w:rFonts w:ascii="仿宋_GB2312" w:eastAsia="仿宋_GB2312" w:cs="仿宋_GB2312"/>
          <w:kern w:val="0"/>
          <w:sz w:val="32"/>
          <w:szCs w:val="32"/>
        </w:rPr>
        <w:t>85,733.93</w:t>
      </w:r>
      <w:r>
        <w:rPr>
          <w:rFonts w:hint="eastAsia" w:ascii="仿宋_GB2312" w:eastAsia="仿宋_GB2312" w:cs="仿宋_GB2312"/>
          <w:kern w:val="0"/>
          <w:sz w:val="32"/>
          <w:szCs w:val="32"/>
        </w:rPr>
        <w:t>万元、政府采购服务支出7</w:t>
      </w:r>
      <w:r>
        <w:rPr>
          <w:rFonts w:ascii="仿宋_GB2312" w:eastAsia="仿宋_GB2312" w:cs="仿宋_GB2312"/>
          <w:kern w:val="0"/>
          <w:sz w:val="32"/>
          <w:szCs w:val="32"/>
        </w:rPr>
        <w:t>,975.72</w:t>
      </w:r>
      <w:r>
        <w:rPr>
          <w:rFonts w:hint="eastAsia" w:ascii="仿宋_GB2312" w:eastAsia="仿宋_GB2312" w:cs="仿宋_GB2312"/>
          <w:kern w:val="0"/>
          <w:sz w:val="32"/>
          <w:szCs w:val="32"/>
        </w:rPr>
        <w:t>万元。授予中小企业合同金额9</w:t>
      </w:r>
      <w:r>
        <w:rPr>
          <w:rFonts w:ascii="仿宋_GB2312" w:eastAsia="仿宋_GB2312" w:cs="仿宋_GB2312"/>
          <w:kern w:val="0"/>
          <w:sz w:val="32"/>
          <w:szCs w:val="32"/>
        </w:rPr>
        <w:t>7,879.27</w:t>
      </w:r>
      <w:r>
        <w:rPr>
          <w:rFonts w:hint="eastAsia" w:ascii="仿宋_GB2312" w:eastAsia="仿宋_GB2312" w:cs="仿宋_GB2312"/>
          <w:kern w:val="0"/>
          <w:sz w:val="32"/>
          <w:szCs w:val="32"/>
        </w:rPr>
        <w:t>万元，占政府采购支出总额的9</w:t>
      </w:r>
      <w:r>
        <w:rPr>
          <w:rFonts w:ascii="仿宋_GB2312" w:eastAsia="仿宋_GB2312" w:cs="仿宋_GB2312"/>
          <w:kern w:val="0"/>
          <w:sz w:val="32"/>
          <w:szCs w:val="32"/>
        </w:rPr>
        <w:t>9.94</w:t>
      </w:r>
      <w:r>
        <w:rPr>
          <w:rFonts w:hint="eastAsia" w:ascii="仿宋_GB2312" w:eastAsia="仿宋_GB2312" w:cs="仿宋_GB2312"/>
          <w:kern w:val="0"/>
          <w:sz w:val="32"/>
          <w:szCs w:val="32"/>
        </w:rPr>
        <w:t>%，其中：授予小微企业合同金额</w:t>
      </w:r>
      <w:r>
        <w:rPr>
          <w:rFonts w:ascii="仿宋_GB2312" w:eastAsia="仿宋_GB2312" w:cs="仿宋_GB2312"/>
          <w:kern w:val="0"/>
          <w:sz w:val="32"/>
          <w:szCs w:val="32"/>
        </w:rPr>
        <w:t>5,293.42</w:t>
      </w:r>
      <w:r>
        <w:rPr>
          <w:rFonts w:hint="eastAsia" w:ascii="仿宋_GB2312" w:eastAsia="仿宋_GB2312" w:cs="仿宋_GB2312"/>
          <w:kern w:val="0"/>
          <w:sz w:val="32"/>
          <w:szCs w:val="32"/>
        </w:rPr>
        <w:t>万元，占授予中小企业合同金额的</w:t>
      </w:r>
      <w:r>
        <w:rPr>
          <w:rFonts w:ascii="仿宋_GB2312" w:eastAsia="仿宋_GB2312" w:cs="仿宋_GB2312"/>
          <w:kern w:val="0"/>
          <w:sz w:val="32"/>
          <w:szCs w:val="32"/>
        </w:rPr>
        <w:t>5.41</w:t>
      </w:r>
      <w:r>
        <w:rPr>
          <w:rFonts w:hint="eastAsia" w:ascii="仿宋_GB2312" w:eastAsia="仿宋_GB2312" w:cs="仿宋_GB2312"/>
          <w:kern w:val="0"/>
          <w:sz w:val="32"/>
          <w:szCs w:val="32"/>
        </w:rPr>
        <w:t>%；货物采购授予中小企业合同金额占货物支出金额的9</w:t>
      </w:r>
      <w:r>
        <w:rPr>
          <w:rFonts w:ascii="仿宋_GB2312" w:eastAsia="仿宋_GB2312" w:cs="仿宋_GB2312"/>
          <w:kern w:val="0"/>
          <w:sz w:val="32"/>
          <w:szCs w:val="32"/>
        </w:rPr>
        <w:t>8.58</w:t>
      </w:r>
      <w:r>
        <w:rPr>
          <w:rFonts w:hint="eastAsia" w:ascii="仿宋_GB2312" w:eastAsia="仿宋_GB2312" w:cs="仿宋_GB2312"/>
          <w:kern w:val="0"/>
          <w:sz w:val="32"/>
          <w:szCs w:val="32"/>
        </w:rPr>
        <w:t>%；工程采购授予中小企业合同金额占工程支出金额的1</w:t>
      </w:r>
      <w:r>
        <w:rPr>
          <w:rFonts w:ascii="仿宋_GB2312" w:eastAsia="仿宋_GB2312" w:cs="仿宋_GB2312"/>
          <w:kern w:val="0"/>
          <w:sz w:val="32"/>
          <w:szCs w:val="32"/>
        </w:rPr>
        <w:t>00</w:t>
      </w:r>
      <w:r>
        <w:rPr>
          <w:rFonts w:hint="eastAsia" w:ascii="仿宋_GB2312" w:eastAsia="仿宋_GB2312" w:cs="仿宋_GB2312"/>
          <w:kern w:val="0"/>
          <w:sz w:val="32"/>
          <w:szCs w:val="32"/>
        </w:rPr>
        <w:t>%；服务采购授予中小企业合同金额占服务支出金额的1</w:t>
      </w:r>
      <w:r>
        <w:rPr>
          <w:rFonts w:ascii="仿宋_GB2312" w:eastAsia="仿宋_GB2312" w:cs="仿宋_GB2312"/>
          <w:kern w:val="0"/>
          <w:sz w:val="32"/>
          <w:szCs w:val="32"/>
        </w:rPr>
        <w:t>00</w:t>
      </w:r>
      <w:r>
        <w:rPr>
          <w:rFonts w:hint="eastAsia" w:ascii="仿宋_GB2312" w:eastAsia="仿宋_GB2312" w:cs="仿宋_GB2312"/>
          <w:kern w:val="0"/>
          <w:sz w:val="32"/>
          <w:szCs w:val="32"/>
        </w:rPr>
        <w:t>%。</w:t>
      </w:r>
    </w:p>
    <w:p>
      <w:pPr>
        <w:autoSpaceDE w:val="0"/>
        <w:autoSpaceDN w:val="0"/>
        <w:adjustRightInd w:val="0"/>
        <w:spacing w:line="560" w:lineRule="exact"/>
        <w:ind w:right="-15" w:rightChars="-7" w:firstLine="640" w:firstLineChars="200"/>
        <w:rPr>
          <w:rFonts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截至2021年12月31日，本部门共有车辆1</w:t>
      </w:r>
      <w:r>
        <w:rPr>
          <w:rFonts w:ascii="仿宋_GB2312" w:eastAsia="仿宋_GB2312" w:cs="仿宋_GB2312"/>
          <w:kern w:val="0"/>
          <w:sz w:val="32"/>
          <w:szCs w:val="32"/>
        </w:rPr>
        <w:t>6</w:t>
      </w:r>
      <w:r>
        <w:rPr>
          <w:rFonts w:hint="eastAsia" w:ascii="仿宋_GB2312" w:eastAsia="仿宋_GB2312" w:cs="仿宋_GB2312"/>
          <w:kern w:val="0"/>
          <w:sz w:val="32"/>
          <w:szCs w:val="32"/>
        </w:rPr>
        <w:t>辆，其中：副部（省）级领导干部用车</w:t>
      </w:r>
      <w:r>
        <w:rPr>
          <w:rFonts w:ascii="仿宋_GB2312" w:eastAsia="仿宋_GB2312" w:cs="仿宋_GB2312"/>
          <w:kern w:val="0"/>
          <w:sz w:val="32"/>
          <w:szCs w:val="32"/>
        </w:rPr>
        <w:t>0</w:t>
      </w:r>
      <w:r>
        <w:rPr>
          <w:rFonts w:hint="eastAsia" w:ascii="仿宋_GB2312" w:eastAsia="仿宋_GB2312" w:cs="仿宋_GB2312"/>
          <w:kern w:val="0"/>
          <w:sz w:val="32"/>
          <w:szCs w:val="32"/>
        </w:rPr>
        <w:t>辆、机要通信用车</w:t>
      </w:r>
      <w:r>
        <w:rPr>
          <w:rFonts w:ascii="仿宋_GB2312" w:eastAsia="仿宋_GB2312" w:cs="仿宋_GB2312"/>
          <w:kern w:val="0"/>
          <w:sz w:val="32"/>
          <w:szCs w:val="32"/>
        </w:rPr>
        <w:t>0</w:t>
      </w:r>
      <w:r>
        <w:rPr>
          <w:rFonts w:hint="eastAsia" w:ascii="仿宋_GB2312" w:eastAsia="仿宋_GB2312" w:cs="仿宋_GB2312"/>
          <w:kern w:val="0"/>
          <w:sz w:val="32"/>
          <w:szCs w:val="32"/>
        </w:rPr>
        <w:t>辆、应急保障用车</w:t>
      </w:r>
      <w:r>
        <w:rPr>
          <w:rFonts w:ascii="仿宋_GB2312" w:eastAsia="仿宋_GB2312" w:cs="仿宋_GB2312"/>
          <w:kern w:val="0"/>
          <w:sz w:val="32"/>
          <w:szCs w:val="32"/>
        </w:rPr>
        <w:t>0</w:t>
      </w:r>
      <w:r>
        <w:rPr>
          <w:rFonts w:hint="eastAsia" w:ascii="仿宋_GB2312" w:eastAsia="仿宋_GB2312" w:cs="仿宋_GB2312"/>
          <w:kern w:val="0"/>
          <w:sz w:val="32"/>
          <w:szCs w:val="32"/>
        </w:rPr>
        <w:t>辆、执法执勤用车</w:t>
      </w:r>
      <w:r>
        <w:rPr>
          <w:rFonts w:ascii="仿宋_GB2312" w:eastAsia="仿宋_GB2312" w:cs="仿宋_GB2312"/>
          <w:kern w:val="0"/>
          <w:sz w:val="32"/>
          <w:szCs w:val="32"/>
        </w:rPr>
        <w:t>0</w:t>
      </w:r>
      <w:r>
        <w:rPr>
          <w:rFonts w:hint="eastAsia" w:ascii="仿宋_GB2312" w:eastAsia="仿宋_GB2312" w:cs="仿宋_GB2312"/>
          <w:kern w:val="0"/>
          <w:sz w:val="32"/>
          <w:szCs w:val="32"/>
        </w:rPr>
        <w:t>辆、特种专业技术用车</w:t>
      </w:r>
      <w:r>
        <w:rPr>
          <w:rFonts w:ascii="仿宋_GB2312" w:eastAsia="仿宋_GB2312" w:cs="仿宋_GB2312"/>
          <w:kern w:val="0"/>
          <w:sz w:val="32"/>
          <w:szCs w:val="32"/>
        </w:rPr>
        <w:t>0</w:t>
      </w:r>
      <w:r>
        <w:rPr>
          <w:rFonts w:hint="eastAsia" w:ascii="仿宋_GB2312" w:eastAsia="仿宋_GB2312" w:cs="仿宋_GB2312"/>
          <w:kern w:val="0"/>
          <w:sz w:val="32"/>
          <w:szCs w:val="32"/>
        </w:rPr>
        <w:t>辆、其他用车</w:t>
      </w:r>
      <w:r>
        <w:rPr>
          <w:rFonts w:ascii="仿宋_GB2312" w:eastAsia="仿宋_GB2312" w:cs="仿宋_GB2312"/>
          <w:kern w:val="0"/>
          <w:sz w:val="32"/>
          <w:szCs w:val="32"/>
        </w:rPr>
        <w:t>16</w:t>
      </w:r>
      <w:r>
        <w:rPr>
          <w:rFonts w:hint="eastAsia" w:ascii="仿宋_GB2312" w:eastAsia="仿宋_GB2312" w:cs="仿宋_GB2312"/>
          <w:kern w:val="0"/>
          <w:sz w:val="32"/>
          <w:szCs w:val="32"/>
        </w:rPr>
        <w:t>辆，其他用车主要是学校用于接送学生往返于各个校区的校车；单位价值50万元以上通用设备</w:t>
      </w:r>
      <w:r>
        <w:rPr>
          <w:rFonts w:ascii="仿宋_GB2312" w:eastAsia="仿宋_GB2312" w:cs="仿宋_GB2312"/>
          <w:kern w:val="0"/>
          <w:sz w:val="32"/>
          <w:szCs w:val="32"/>
        </w:rPr>
        <w:t>37</w:t>
      </w:r>
      <w:r>
        <w:rPr>
          <w:rFonts w:hint="eastAsia" w:ascii="仿宋_GB2312" w:eastAsia="仿宋_GB2312" w:cs="仿宋_GB2312"/>
          <w:kern w:val="0"/>
          <w:sz w:val="32"/>
          <w:szCs w:val="32"/>
        </w:rPr>
        <w:t>台（套）；单位价值100万元以上专用设备0台（套）。</w:t>
      </w:r>
    </w:p>
    <w:p>
      <w:pPr>
        <w:autoSpaceDE w:val="0"/>
        <w:autoSpaceDN w:val="0"/>
        <w:adjustRightInd w:val="0"/>
        <w:spacing w:line="560" w:lineRule="exact"/>
        <w:ind w:right="-15" w:rightChars="-7" w:firstLine="640" w:firstLineChars="200"/>
        <w:rPr>
          <w:rFonts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根据财政预算管理要求，我校组织对广西壮族自治区财政厅关于追加2021年高等学校学生资助中央和自治区补助经费的函（桂财教函〔2021〕110号）、广西一流学科建设项目、南宁教育园区入园高校补助资金等30个一般公共预算项目支出项目支出全面开展绩效自评。共涉及资金57,641.18万元，占一般公共预算项目支出总额的86.19%。组织对广西壮族自治区财政厅关于追加2021年度部分区直高校建设项目专项债券资金（第三批）的函（桂财教函〔2021〕320号）、广西壮族自治区财政厅关于追加2021年度部分区直高校建设项目专项债券资金（第二批）的函（桂财教函〔2021〕200号）、广西壮族自治区财政厅关于追加2021年度部分区直高校建设项目专项债券资金（桂财教函〔2021〕104号 ）等3个政府性基金预算项目支出开展绩效自评，共涉及资金50,000万元，占政府性基金预算项目支出总额的100%。</w:t>
      </w:r>
    </w:p>
    <w:p>
      <w:p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lang w:val="en-US" w:eastAsia="zh-CN"/>
        </w:rPr>
        <w:t>高校师范专业办学能力提升计划经费绩效目标情况：</w:t>
      </w:r>
      <w:r>
        <w:rPr>
          <w:rFonts w:hint="eastAsia" w:ascii="仿宋_GB2312" w:eastAsia="仿宋_GB2312" w:cs="仿宋_GB2312"/>
          <w:color w:val="auto"/>
          <w:kern w:val="0"/>
          <w:sz w:val="32"/>
          <w:szCs w:val="32"/>
        </w:rPr>
        <w:t>绩效目标总体完成良好，</w:t>
      </w:r>
      <w:r>
        <w:rPr>
          <w:rFonts w:hint="eastAsia" w:ascii="仿宋_GB2312" w:eastAsia="仿宋_GB2312" w:cs="仿宋_GB2312"/>
          <w:color w:val="auto"/>
          <w:kern w:val="0"/>
          <w:sz w:val="32"/>
          <w:szCs w:val="32"/>
          <w:lang w:val="en-US" w:eastAsia="zh-CN"/>
        </w:rPr>
        <w:t>完成</w:t>
      </w:r>
      <w:r>
        <w:rPr>
          <w:rFonts w:hint="eastAsia" w:ascii="仿宋_GB2312" w:eastAsia="仿宋_GB2312" w:cs="仿宋_GB2312"/>
          <w:color w:val="auto"/>
          <w:kern w:val="0"/>
          <w:sz w:val="32"/>
          <w:szCs w:val="32"/>
        </w:rPr>
        <w:t>师范专业认证4个，师范教育在职教师的教学水平合格率95%以上。</w:t>
      </w:r>
    </w:p>
    <w:p>
      <w:p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lang w:val="en-US" w:eastAsia="zh-CN"/>
        </w:rPr>
        <w:t>2021年度一流学科项目绩效目标情况：</w:t>
      </w:r>
      <w:r>
        <w:rPr>
          <w:rFonts w:hint="eastAsia" w:ascii="仿宋_GB2312" w:eastAsia="仿宋_GB2312" w:cs="仿宋_GB2312"/>
          <w:color w:val="auto"/>
          <w:kern w:val="0"/>
          <w:sz w:val="32"/>
          <w:szCs w:val="32"/>
        </w:rPr>
        <w:t>（一）产出情况</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rPr>
        <w:t>学科年度资金使用计划与整体建设规划相衔接，与财务规划相衔接，重点支持一流学科用于队伍建设、人才培养、科研平台建设、学术交流和社会服务等支出。（二）效果情况</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rPr>
        <w:t>围绕学术前沿、国家战略目标和区域创新驱动发展需求，地理学科在学科队伍、人才培养、科学研究与社会服务、国际交流与合作等方面都取得了长足的进展，达到或超额完成预期目标。（三）满意度情况</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rPr>
        <w:t>总体的满意度达90%以上。（四）预算执行情况</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rPr>
        <w:t>支出进度100%。</w:t>
      </w:r>
    </w:p>
    <w:p>
      <w:pPr>
        <w:pStyle w:val="2"/>
        <w:numPr>
          <w:ilvl w:val="0"/>
          <w:numId w:val="0"/>
        </w:numPr>
        <w:spacing w:line="520" w:lineRule="exact"/>
        <w:ind w:firstLine="640" w:firstLineChars="200"/>
        <w:rPr>
          <w:rFonts w:hint="eastAsia" w:ascii="仿宋_GB2312" w:hAnsi="Times New Roman" w:eastAsia="仿宋_GB2312" w:cs="仿宋_GB2312"/>
          <w:color w:val="auto"/>
          <w:kern w:val="0"/>
          <w:sz w:val="32"/>
          <w:szCs w:val="32"/>
          <w:lang w:val="en-US" w:eastAsia="zh-CN" w:bidi="ar-SA"/>
        </w:rPr>
      </w:pPr>
      <w:r>
        <w:rPr>
          <w:rFonts w:hint="eastAsia" w:ascii="仿宋_GB2312" w:hAnsi="Times New Roman" w:eastAsia="仿宋_GB2312" w:cs="仿宋_GB2312"/>
          <w:color w:val="auto"/>
          <w:kern w:val="0"/>
          <w:sz w:val="32"/>
          <w:szCs w:val="32"/>
          <w:lang w:val="en-US" w:eastAsia="zh-CN" w:bidi="ar-SA"/>
        </w:rPr>
        <w:t>2021年南宁教育园区桂林高校聚集区高校建设贷款贴息绩效目标情况：（一）产出指标</w:t>
      </w:r>
      <w:r>
        <w:rPr>
          <w:rFonts w:hint="eastAsia" w:ascii="仿宋_GB2312" w:eastAsia="仿宋_GB2312" w:cs="仿宋_GB2312"/>
          <w:color w:val="auto"/>
          <w:kern w:val="0"/>
          <w:sz w:val="32"/>
          <w:szCs w:val="32"/>
          <w:lang w:val="en-US" w:eastAsia="zh-CN" w:bidi="ar-SA"/>
        </w:rPr>
        <w:t>：</w:t>
      </w:r>
      <w:r>
        <w:rPr>
          <w:rFonts w:hint="eastAsia" w:ascii="仿宋_GB2312" w:hAnsi="Times New Roman" w:eastAsia="仿宋_GB2312" w:cs="仿宋_GB2312"/>
          <w:color w:val="auto"/>
          <w:kern w:val="0"/>
          <w:sz w:val="32"/>
          <w:szCs w:val="32"/>
          <w:lang w:val="en-US" w:eastAsia="zh-CN" w:bidi="ar-SA"/>
        </w:rPr>
        <w:t>1.产出数量。该专项经费下达资金625万元，计划化解债务利息625万元，实际化解债务利息625万元。2.产出质量。该专项经费下达后及时支付，促使学校按时偿还债务利息，计划利息按时偿还率为100%，实际利息按时偿还率为100%。3.产出时效。该项专项经费到位及时，前期工作准备充分，计划完成时间为2021年12月31日，实际完成时间为2021年12月31日。4.产出成本。该项目及时下达，及时支出，计划年度内形成了625万元的经费投入支出，实际年度内形成了625万元的经费投入支出。（二）效果指标：实际学校在全国征信系统未存在逾期偿还债务“信用污点”情况。（三）满意度指标：债权单位对学校按时偿还债务利息满意度达到100%。</w:t>
      </w:r>
    </w:p>
    <w:p>
      <w:pPr>
        <w:pStyle w:val="2"/>
        <w:spacing w:line="520" w:lineRule="exact"/>
        <w:ind w:left="0" w:leftChars="0" w:firstLine="0" w:firstLineChars="0"/>
        <w:rPr>
          <w:rFonts w:hint="default" w:ascii="仿宋_GB2312" w:eastAsia="仿宋_GB2312" w:cs="仿宋_GB2312"/>
          <w:color w:val="auto"/>
          <w:kern w:val="0"/>
          <w:sz w:val="32"/>
          <w:szCs w:val="32"/>
          <w:lang w:val="en-US" w:eastAsia="zh-CN"/>
        </w:rPr>
      </w:pPr>
      <w:r>
        <w:rPr>
          <w:rFonts w:hint="eastAsia" w:ascii="仿宋_GB2312" w:hAnsi="Times New Roman" w:eastAsia="仿宋_GB2312" w:cs="仿宋_GB2312"/>
          <w:color w:val="auto"/>
          <w:kern w:val="0"/>
          <w:sz w:val="32"/>
          <w:szCs w:val="32"/>
          <w:lang w:val="en-US" w:eastAsia="zh-CN" w:bidi="ar-SA"/>
        </w:rPr>
        <w:t>（四）预算执行情况：预算执行率100%。</w:t>
      </w:r>
    </w:p>
    <w:p>
      <w:pPr>
        <w:autoSpaceDE w:val="0"/>
        <w:autoSpaceDN w:val="0"/>
        <w:adjustRightInd w:val="0"/>
        <w:spacing w:line="560" w:lineRule="exact"/>
        <w:ind w:right="-15" w:rightChars="-7" w:firstLine="640" w:firstLineChars="200"/>
        <w:jc w:val="left"/>
        <w:rPr>
          <w:rFonts w:hint="eastAsia" w:ascii="仿宋_GB2312" w:eastAsia="仿宋_GB2312" w:cs="仿宋_GB2312"/>
          <w:b/>
          <w:kern w:val="0"/>
          <w:sz w:val="32"/>
          <w:szCs w:val="32"/>
        </w:rPr>
      </w:pPr>
      <w:r>
        <w:rPr>
          <w:rFonts w:hint="eastAsia" w:ascii="仿宋_GB2312" w:eastAsia="仿宋_GB2312" w:cs="仿宋_GB2312"/>
          <w:kern w:val="0"/>
          <w:sz w:val="32"/>
          <w:szCs w:val="32"/>
        </w:rPr>
        <w:t>以上开展绩效自评的项目涵盖了学校主要的职能部门，项目符合我校的发展规划及年度工作计划，项目目标明确，绩效指标具体量化。通过开展预算绩效自评工作，学校各职能部门对预算经费使用的过程管理、资金的使用效益等有了进一步认识，加强了业务工作与资金使用的有效衔接。</w:t>
      </w:r>
      <w:bookmarkStart w:id="1" w:name="_GoBack"/>
      <w:bookmarkEnd w:id="1"/>
    </w:p>
    <w:p>
      <w:pPr>
        <w:autoSpaceDE w:val="0"/>
        <w:autoSpaceDN w:val="0"/>
        <w:adjustRightInd w:val="0"/>
        <w:spacing w:line="560" w:lineRule="exact"/>
        <w:jc w:val="center"/>
        <w:rPr>
          <w:rFonts w:ascii="仿宋_GB2312" w:eastAsia="仿宋_GB2312" w:cs="仿宋_GB2312"/>
          <w:b/>
          <w:kern w:val="0"/>
          <w:sz w:val="32"/>
          <w:szCs w:val="32"/>
        </w:rPr>
      </w:pPr>
    </w:p>
    <w:p>
      <w:pPr>
        <w:autoSpaceDE w:val="0"/>
        <w:autoSpaceDN w:val="0"/>
        <w:adjustRightInd w:val="0"/>
        <w:spacing w:line="560" w:lineRule="exact"/>
        <w:jc w:val="center"/>
        <w:rPr>
          <w:rFonts w:ascii="黑体" w:hAnsi="黑体" w:eastAsia="黑体" w:cs="仿宋_GB2312"/>
          <w:kern w:val="0"/>
          <w:sz w:val="32"/>
          <w:szCs w:val="32"/>
        </w:rPr>
      </w:pPr>
      <w:r>
        <w:rPr>
          <w:rFonts w:hint="eastAsia" w:ascii="黑体" w:hAnsi="黑体" w:eastAsia="黑体" w:cs="仿宋_GB2312"/>
          <w:kern w:val="0"/>
          <w:sz w:val="32"/>
          <w:szCs w:val="32"/>
        </w:rPr>
        <w:t>第四部分  名词解释</w:t>
      </w:r>
    </w:p>
    <w:p>
      <w:pPr>
        <w:ind w:firstLine="640"/>
        <w:rPr>
          <w:rFonts w:ascii="仿宋_GB2312" w:eastAsia="仿宋_GB2312"/>
          <w:sz w:val="32"/>
          <w:szCs w:val="32"/>
        </w:rPr>
      </w:pPr>
      <w:r>
        <w:rPr>
          <w:rFonts w:hint="eastAsia" w:ascii="仿宋_GB2312" w:eastAsia="仿宋_GB2312"/>
          <w:sz w:val="32"/>
          <w:szCs w:val="32"/>
        </w:rPr>
        <w:t xml:space="preserve">一、财政拨款收入：指自治区财政部门当年拨付的资金。 </w:t>
      </w:r>
    </w:p>
    <w:p>
      <w:pPr>
        <w:ind w:firstLine="640" w:firstLineChars="200"/>
        <w:rPr>
          <w:rFonts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rPr>
        <w:t xml:space="preserve">十二、“三公”经费：纳入自治区财政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s="仿宋_GB2312"/>
          <w:kern w:val="0"/>
          <w:sz w:val="32"/>
          <w:szCs w:val="32"/>
        </w:rPr>
      </w:pPr>
    </w:p>
    <w:sectPr>
      <w:pgSz w:w="11906" w:h="16838"/>
      <w:pgMar w:top="1701" w:right="1474" w:bottom="1247" w:left="1587" w:header="851" w:footer="992"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微软雅黑"/>
    <w:panose1 w:val="02000000000000000000"/>
    <w:charset w:val="86"/>
    <w:family w:val="auto"/>
    <w:pitch w:val="default"/>
    <w:sig w:usb0="00000000" w:usb1="00000000" w:usb2="00000012"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80"/>
      <w:jc w:val="right"/>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420" w:firstLineChars="150"/>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10</w:t>
    </w:r>
    <w:r>
      <w:rPr>
        <w:rFonts w:ascii="宋体" w:hAnsi="宋体"/>
        <w:sz w:val="28"/>
        <w:szCs w:val="28"/>
      </w:rPr>
      <w:fldChar w:fldCharType="end"/>
    </w:r>
    <w:r>
      <w:rPr>
        <w:rFonts w:hint="eastAsia" w:ascii="宋体" w:hAnsi="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xYjM4MzhkMGVhMjY0ZDk2YzBmZmIwNTczMTE0MzAifQ=="/>
  </w:docVars>
  <w:rsids>
    <w:rsidRoot w:val="0044603A"/>
    <w:rsid w:val="00000C19"/>
    <w:rsid w:val="000025D7"/>
    <w:rsid w:val="000029C9"/>
    <w:rsid w:val="00011970"/>
    <w:rsid w:val="00012A72"/>
    <w:rsid w:val="000132BE"/>
    <w:rsid w:val="0001353E"/>
    <w:rsid w:val="00014B7F"/>
    <w:rsid w:val="000157A9"/>
    <w:rsid w:val="00017F54"/>
    <w:rsid w:val="000206F8"/>
    <w:rsid w:val="0002142A"/>
    <w:rsid w:val="000222ED"/>
    <w:rsid w:val="000275C8"/>
    <w:rsid w:val="00030D95"/>
    <w:rsid w:val="00031FEA"/>
    <w:rsid w:val="00032D5F"/>
    <w:rsid w:val="000373C3"/>
    <w:rsid w:val="0004145E"/>
    <w:rsid w:val="000441F7"/>
    <w:rsid w:val="00046498"/>
    <w:rsid w:val="0004689D"/>
    <w:rsid w:val="00050F20"/>
    <w:rsid w:val="000534BF"/>
    <w:rsid w:val="00053DFF"/>
    <w:rsid w:val="000624C1"/>
    <w:rsid w:val="00062651"/>
    <w:rsid w:val="00075941"/>
    <w:rsid w:val="000772EB"/>
    <w:rsid w:val="0008469B"/>
    <w:rsid w:val="00084D65"/>
    <w:rsid w:val="00084D7B"/>
    <w:rsid w:val="000855C8"/>
    <w:rsid w:val="00086800"/>
    <w:rsid w:val="00087056"/>
    <w:rsid w:val="00090B5D"/>
    <w:rsid w:val="000910E5"/>
    <w:rsid w:val="0009172A"/>
    <w:rsid w:val="00091768"/>
    <w:rsid w:val="00094416"/>
    <w:rsid w:val="00094BD1"/>
    <w:rsid w:val="0009684C"/>
    <w:rsid w:val="00096F23"/>
    <w:rsid w:val="0009722B"/>
    <w:rsid w:val="000A2AB8"/>
    <w:rsid w:val="000A3E6C"/>
    <w:rsid w:val="000A6054"/>
    <w:rsid w:val="000A6C6F"/>
    <w:rsid w:val="000B28CB"/>
    <w:rsid w:val="000B3150"/>
    <w:rsid w:val="000B4991"/>
    <w:rsid w:val="000B50F0"/>
    <w:rsid w:val="000B6ADF"/>
    <w:rsid w:val="000C0E3B"/>
    <w:rsid w:val="000C5BEC"/>
    <w:rsid w:val="000C63B9"/>
    <w:rsid w:val="000C6D5F"/>
    <w:rsid w:val="000C6FCB"/>
    <w:rsid w:val="000D23D3"/>
    <w:rsid w:val="000D2E1E"/>
    <w:rsid w:val="000D3F04"/>
    <w:rsid w:val="000D4FEF"/>
    <w:rsid w:val="000D59C5"/>
    <w:rsid w:val="000E0EF2"/>
    <w:rsid w:val="000E46F0"/>
    <w:rsid w:val="000F1C31"/>
    <w:rsid w:val="000F2407"/>
    <w:rsid w:val="000F2C94"/>
    <w:rsid w:val="000F6708"/>
    <w:rsid w:val="000F7869"/>
    <w:rsid w:val="0010068C"/>
    <w:rsid w:val="00100FAF"/>
    <w:rsid w:val="00102D27"/>
    <w:rsid w:val="00103347"/>
    <w:rsid w:val="0010639B"/>
    <w:rsid w:val="00107921"/>
    <w:rsid w:val="001112C5"/>
    <w:rsid w:val="00112FD8"/>
    <w:rsid w:val="001142CD"/>
    <w:rsid w:val="0011491B"/>
    <w:rsid w:val="00116EA1"/>
    <w:rsid w:val="00122319"/>
    <w:rsid w:val="00123033"/>
    <w:rsid w:val="00124337"/>
    <w:rsid w:val="00124374"/>
    <w:rsid w:val="00124696"/>
    <w:rsid w:val="00127C35"/>
    <w:rsid w:val="00131E61"/>
    <w:rsid w:val="00134300"/>
    <w:rsid w:val="0014054D"/>
    <w:rsid w:val="00140B11"/>
    <w:rsid w:val="00141231"/>
    <w:rsid w:val="00143E79"/>
    <w:rsid w:val="001452D0"/>
    <w:rsid w:val="00146528"/>
    <w:rsid w:val="00146943"/>
    <w:rsid w:val="00146A23"/>
    <w:rsid w:val="0015076F"/>
    <w:rsid w:val="00152434"/>
    <w:rsid w:val="00154352"/>
    <w:rsid w:val="00154359"/>
    <w:rsid w:val="00155313"/>
    <w:rsid w:val="00160A4D"/>
    <w:rsid w:val="001666C1"/>
    <w:rsid w:val="00170279"/>
    <w:rsid w:val="001718C7"/>
    <w:rsid w:val="0017498B"/>
    <w:rsid w:val="001847E1"/>
    <w:rsid w:val="00184C71"/>
    <w:rsid w:val="00184D07"/>
    <w:rsid w:val="00185888"/>
    <w:rsid w:val="00186585"/>
    <w:rsid w:val="001865E7"/>
    <w:rsid w:val="0018764F"/>
    <w:rsid w:val="00187CE2"/>
    <w:rsid w:val="00191280"/>
    <w:rsid w:val="00194E59"/>
    <w:rsid w:val="00196A9B"/>
    <w:rsid w:val="001A0C25"/>
    <w:rsid w:val="001A1448"/>
    <w:rsid w:val="001A6FD4"/>
    <w:rsid w:val="001A7D11"/>
    <w:rsid w:val="001B00BC"/>
    <w:rsid w:val="001B0307"/>
    <w:rsid w:val="001B166A"/>
    <w:rsid w:val="001B4B53"/>
    <w:rsid w:val="001B579F"/>
    <w:rsid w:val="001B5D25"/>
    <w:rsid w:val="001C104A"/>
    <w:rsid w:val="001C3C44"/>
    <w:rsid w:val="001D0189"/>
    <w:rsid w:val="001D3D99"/>
    <w:rsid w:val="001D676E"/>
    <w:rsid w:val="001D6B9B"/>
    <w:rsid w:val="001E1E8E"/>
    <w:rsid w:val="001E263B"/>
    <w:rsid w:val="001E5C0E"/>
    <w:rsid w:val="001F5DC2"/>
    <w:rsid w:val="002018A2"/>
    <w:rsid w:val="0020576C"/>
    <w:rsid w:val="00207EAA"/>
    <w:rsid w:val="002109FE"/>
    <w:rsid w:val="002151D9"/>
    <w:rsid w:val="00215D56"/>
    <w:rsid w:val="002160E7"/>
    <w:rsid w:val="002208D1"/>
    <w:rsid w:val="00220F16"/>
    <w:rsid w:val="00221229"/>
    <w:rsid w:val="00222800"/>
    <w:rsid w:val="00224936"/>
    <w:rsid w:val="00226542"/>
    <w:rsid w:val="0022663D"/>
    <w:rsid w:val="002321C4"/>
    <w:rsid w:val="00232489"/>
    <w:rsid w:val="00237501"/>
    <w:rsid w:val="00237B04"/>
    <w:rsid w:val="00237B7A"/>
    <w:rsid w:val="00240535"/>
    <w:rsid w:val="00240953"/>
    <w:rsid w:val="002416AE"/>
    <w:rsid w:val="00241DEE"/>
    <w:rsid w:val="0024429E"/>
    <w:rsid w:val="00246C1D"/>
    <w:rsid w:val="00250261"/>
    <w:rsid w:val="002504E7"/>
    <w:rsid w:val="002514D7"/>
    <w:rsid w:val="0025158F"/>
    <w:rsid w:val="00251F64"/>
    <w:rsid w:val="00251FA3"/>
    <w:rsid w:val="00253683"/>
    <w:rsid w:val="0025461A"/>
    <w:rsid w:val="002603EE"/>
    <w:rsid w:val="0026094C"/>
    <w:rsid w:val="00260D24"/>
    <w:rsid w:val="002633F3"/>
    <w:rsid w:val="00266617"/>
    <w:rsid w:val="002675C3"/>
    <w:rsid w:val="00267C5B"/>
    <w:rsid w:val="00267CC9"/>
    <w:rsid w:val="00270EC2"/>
    <w:rsid w:val="00274E01"/>
    <w:rsid w:val="002752E2"/>
    <w:rsid w:val="002803AA"/>
    <w:rsid w:val="002804E0"/>
    <w:rsid w:val="00291736"/>
    <w:rsid w:val="002954D5"/>
    <w:rsid w:val="002A02D0"/>
    <w:rsid w:val="002A368F"/>
    <w:rsid w:val="002A3928"/>
    <w:rsid w:val="002A3E37"/>
    <w:rsid w:val="002A555C"/>
    <w:rsid w:val="002A6A9A"/>
    <w:rsid w:val="002B1412"/>
    <w:rsid w:val="002B2E03"/>
    <w:rsid w:val="002B6EA5"/>
    <w:rsid w:val="002C0E9F"/>
    <w:rsid w:val="002C281F"/>
    <w:rsid w:val="002C2B03"/>
    <w:rsid w:val="002C5A6A"/>
    <w:rsid w:val="002D4A30"/>
    <w:rsid w:val="002E03AA"/>
    <w:rsid w:val="002E3BED"/>
    <w:rsid w:val="002E7A82"/>
    <w:rsid w:val="002F3061"/>
    <w:rsid w:val="002F3CF8"/>
    <w:rsid w:val="002F497A"/>
    <w:rsid w:val="002F7B1D"/>
    <w:rsid w:val="00300BB4"/>
    <w:rsid w:val="00300FD9"/>
    <w:rsid w:val="00301C94"/>
    <w:rsid w:val="00306668"/>
    <w:rsid w:val="003103DF"/>
    <w:rsid w:val="00311100"/>
    <w:rsid w:val="00311ABD"/>
    <w:rsid w:val="003122D0"/>
    <w:rsid w:val="003127B5"/>
    <w:rsid w:val="003130DD"/>
    <w:rsid w:val="0031372E"/>
    <w:rsid w:val="00315574"/>
    <w:rsid w:val="00320B55"/>
    <w:rsid w:val="003232EB"/>
    <w:rsid w:val="00323399"/>
    <w:rsid w:val="0032366E"/>
    <w:rsid w:val="00323731"/>
    <w:rsid w:val="00326265"/>
    <w:rsid w:val="00332392"/>
    <w:rsid w:val="0033707D"/>
    <w:rsid w:val="00337891"/>
    <w:rsid w:val="00341BFA"/>
    <w:rsid w:val="0034272A"/>
    <w:rsid w:val="003447DA"/>
    <w:rsid w:val="0034512A"/>
    <w:rsid w:val="00346FB4"/>
    <w:rsid w:val="003557F0"/>
    <w:rsid w:val="0036023B"/>
    <w:rsid w:val="00360F0D"/>
    <w:rsid w:val="00361A06"/>
    <w:rsid w:val="00362E12"/>
    <w:rsid w:val="00363267"/>
    <w:rsid w:val="0036427C"/>
    <w:rsid w:val="00364511"/>
    <w:rsid w:val="00365C50"/>
    <w:rsid w:val="00367236"/>
    <w:rsid w:val="00370055"/>
    <w:rsid w:val="003706FD"/>
    <w:rsid w:val="00370E78"/>
    <w:rsid w:val="00370F52"/>
    <w:rsid w:val="003720EC"/>
    <w:rsid w:val="0037296A"/>
    <w:rsid w:val="00372DDA"/>
    <w:rsid w:val="00373228"/>
    <w:rsid w:val="003733D5"/>
    <w:rsid w:val="00375904"/>
    <w:rsid w:val="00376419"/>
    <w:rsid w:val="0037657B"/>
    <w:rsid w:val="00377EE7"/>
    <w:rsid w:val="003813FB"/>
    <w:rsid w:val="00381DD6"/>
    <w:rsid w:val="003851D3"/>
    <w:rsid w:val="00386927"/>
    <w:rsid w:val="00390DD6"/>
    <w:rsid w:val="00390E35"/>
    <w:rsid w:val="0039174F"/>
    <w:rsid w:val="003925EC"/>
    <w:rsid w:val="003925FB"/>
    <w:rsid w:val="003929E5"/>
    <w:rsid w:val="00395A70"/>
    <w:rsid w:val="00396BF6"/>
    <w:rsid w:val="00397445"/>
    <w:rsid w:val="003A03A2"/>
    <w:rsid w:val="003A04DC"/>
    <w:rsid w:val="003A08D0"/>
    <w:rsid w:val="003A12A9"/>
    <w:rsid w:val="003A2C6C"/>
    <w:rsid w:val="003A447D"/>
    <w:rsid w:val="003A637E"/>
    <w:rsid w:val="003A6BD2"/>
    <w:rsid w:val="003A7E38"/>
    <w:rsid w:val="003B00AF"/>
    <w:rsid w:val="003B0F5F"/>
    <w:rsid w:val="003B3F82"/>
    <w:rsid w:val="003B45F8"/>
    <w:rsid w:val="003B5F91"/>
    <w:rsid w:val="003C26AA"/>
    <w:rsid w:val="003C291D"/>
    <w:rsid w:val="003C48C5"/>
    <w:rsid w:val="003C66E5"/>
    <w:rsid w:val="003D1E99"/>
    <w:rsid w:val="003D3A37"/>
    <w:rsid w:val="003D3CAA"/>
    <w:rsid w:val="003D4E96"/>
    <w:rsid w:val="003D527F"/>
    <w:rsid w:val="003D6F8F"/>
    <w:rsid w:val="003E183B"/>
    <w:rsid w:val="003E2626"/>
    <w:rsid w:val="003E39C8"/>
    <w:rsid w:val="003E39E1"/>
    <w:rsid w:val="003E4405"/>
    <w:rsid w:val="003E46F0"/>
    <w:rsid w:val="003E50BC"/>
    <w:rsid w:val="003E50FC"/>
    <w:rsid w:val="003E56AB"/>
    <w:rsid w:val="003F3DC3"/>
    <w:rsid w:val="003F5CE2"/>
    <w:rsid w:val="003F6785"/>
    <w:rsid w:val="003F6E50"/>
    <w:rsid w:val="00401CB5"/>
    <w:rsid w:val="00403F6E"/>
    <w:rsid w:val="004109A2"/>
    <w:rsid w:val="004113DD"/>
    <w:rsid w:val="0041229B"/>
    <w:rsid w:val="0041459A"/>
    <w:rsid w:val="00417299"/>
    <w:rsid w:val="00417659"/>
    <w:rsid w:val="00420E37"/>
    <w:rsid w:val="00426330"/>
    <w:rsid w:val="00426EB7"/>
    <w:rsid w:val="00427CC4"/>
    <w:rsid w:val="004304AE"/>
    <w:rsid w:val="00430D18"/>
    <w:rsid w:val="004316FD"/>
    <w:rsid w:val="00435609"/>
    <w:rsid w:val="004357B3"/>
    <w:rsid w:val="00436B00"/>
    <w:rsid w:val="00440293"/>
    <w:rsid w:val="00441648"/>
    <w:rsid w:val="00442330"/>
    <w:rsid w:val="00443145"/>
    <w:rsid w:val="00444696"/>
    <w:rsid w:val="0044603A"/>
    <w:rsid w:val="00446B3E"/>
    <w:rsid w:val="00447BF6"/>
    <w:rsid w:val="00452149"/>
    <w:rsid w:val="004522B4"/>
    <w:rsid w:val="004522C8"/>
    <w:rsid w:val="00453ED8"/>
    <w:rsid w:val="00454BC7"/>
    <w:rsid w:val="00456362"/>
    <w:rsid w:val="004625E8"/>
    <w:rsid w:val="0046291E"/>
    <w:rsid w:val="00462EBD"/>
    <w:rsid w:val="0046358D"/>
    <w:rsid w:val="00465295"/>
    <w:rsid w:val="004672EC"/>
    <w:rsid w:val="004715EC"/>
    <w:rsid w:val="00471611"/>
    <w:rsid w:val="00477A2E"/>
    <w:rsid w:val="00480B7A"/>
    <w:rsid w:val="004827C4"/>
    <w:rsid w:val="00484FAE"/>
    <w:rsid w:val="00485E6F"/>
    <w:rsid w:val="00491C5B"/>
    <w:rsid w:val="00491D25"/>
    <w:rsid w:val="00493E03"/>
    <w:rsid w:val="0049716A"/>
    <w:rsid w:val="004972EC"/>
    <w:rsid w:val="00497630"/>
    <w:rsid w:val="004A0B63"/>
    <w:rsid w:val="004A3BC5"/>
    <w:rsid w:val="004A449E"/>
    <w:rsid w:val="004A61C9"/>
    <w:rsid w:val="004A6F76"/>
    <w:rsid w:val="004B1F34"/>
    <w:rsid w:val="004B289F"/>
    <w:rsid w:val="004B35CE"/>
    <w:rsid w:val="004B3DE6"/>
    <w:rsid w:val="004B4DC4"/>
    <w:rsid w:val="004B5DC9"/>
    <w:rsid w:val="004B63B6"/>
    <w:rsid w:val="004B6E81"/>
    <w:rsid w:val="004B7A7F"/>
    <w:rsid w:val="004B7A9E"/>
    <w:rsid w:val="004C04CD"/>
    <w:rsid w:val="004C1A22"/>
    <w:rsid w:val="004C4FBF"/>
    <w:rsid w:val="004C6064"/>
    <w:rsid w:val="004D055F"/>
    <w:rsid w:val="004E110C"/>
    <w:rsid w:val="004E1290"/>
    <w:rsid w:val="004E7C99"/>
    <w:rsid w:val="004F1C3E"/>
    <w:rsid w:val="004F349C"/>
    <w:rsid w:val="004F3E39"/>
    <w:rsid w:val="004F4F61"/>
    <w:rsid w:val="004F7674"/>
    <w:rsid w:val="004F7C61"/>
    <w:rsid w:val="00500122"/>
    <w:rsid w:val="00500DA6"/>
    <w:rsid w:val="00501090"/>
    <w:rsid w:val="00503EA9"/>
    <w:rsid w:val="00506308"/>
    <w:rsid w:val="00506B9A"/>
    <w:rsid w:val="00507786"/>
    <w:rsid w:val="00507C93"/>
    <w:rsid w:val="00514372"/>
    <w:rsid w:val="00521420"/>
    <w:rsid w:val="00522008"/>
    <w:rsid w:val="0052243C"/>
    <w:rsid w:val="00522B7C"/>
    <w:rsid w:val="00522B92"/>
    <w:rsid w:val="00523BBE"/>
    <w:rsid w:val="00523CDA"/>
    <w:rsid w:val="00524715"/>
    <w:rsid w:val="00526411"/>
    <w:rsid w:val="00531804"/>
    <w:rsid w:val="00540964"/>
    <w:rsid w:val="00543475"/>
    <w:rsid w:val="005457A3"/>
    <w:rsid w:val="00546759"/>
    <w:rsid w:val="00550503"/>
    <w:rsid w:val="00550B77"/>
    <w:rsid w:val="0055168C"/>
    <w:rsid w:val="00552861"/>
    <w:rsid w:val="005531C0"/>
    <w:rsid w:val="00564A10"/>
    <w:rsid w:val="005658EF"/>
    <w:rsid w:val="00565E23"/>
    <w:rsid w:val="00570EC7"/>
    <w:rsid w:val="0057447A"/>
    <w:rsid w:val="00575BF2"/>
    <w:rsid w:val="00575D10"/>
    <w:rsid w:val="0057611D"/>
    <w:rsid w:val="00577A85"/>
    <w:rsid w:val="00581BAC"/>
    <w:rsid w:val="005854E8"/>
    <w:rsid w:val="005868CC"/>
    <w:rsid w:val="00590AD9"/>
    <w:rsid w:val="00592E5F"/>
    <w:rsid w:val="0059378D"/>
    <w:rsid w:val="00593DBF"/>
    <w:rsid w:val="005949F2"/>
    <w:rsid w:val="00596282"/>
    <w:rsid w:val="00597357"/>
    <w:rsid w:val="00597F5E"/>
    <w:rsid w:val="005A0856"/>
    <w:rsid w:val="005A12C2"/>
    <w:rsid w:val="005A52FA"/>
    <w:rsid w:val="005A5EE0"/>
    <w:rsid w:val="005A5FFF"/>
    <w:rsid w:val="005A6470"/>
    <w:rsid w:val="005B2A50"/>
    <w:rsid w:val="005B3181"/>
    <w:rsid w:val="005B3A4E"/>
    <w:rsid w:val="005B6953"/>
    <w:rsid w:val="005C2BB0"/>
    <w:rsid w:val="005C76A1"/>
    <w:rsid w:val="005C7829"/>
    <w:rsid w:val="005D0A2C"/>
    <w:rsid w:val="005D5516"/>
    <w:rsid w:val="005D6B9C"/>
    <w:rsid w:val="005D7580"/>
    <w:rsid w:val="005E1010"/>
    <w:rsid w:val="005E26E1"/>
    <w:rsid w:val="005E5A8E"/>
    <w:rsid w:val="005E6D82"/>
    <w:rsid w:val="005F01E6"/>
    <w:rsid w:val="005F0A65"/>
    <w:rsid w:val="005F0F32"/>
    <w:rsid w:val="005F4A57"/>
    <w:rsid w:val="005F6265"/>
    <w:rsid w:val="005F6BF4"/>
    <w:rsid w:val="00601671"/>
    <w:rsid w:val="00602CE4"/>
    <w:rsid w:val="00605CAA"/>
    <w:rsid w:val="006070EA"/>
    <w:rsid w:val="00614F8D"/>
    <w:rsid w:val="0061500F"/>
    <w:rsid w:val="0061640E"/>
    <w:rsid w:val="0062137B"/>
    <w:rsid w:val="0062163E"/>
    <w:rsid w:val="00624986"/>
    <w:rsid w:val="00625F0E"/>
    <w:rsid w:val="006270F9"/>
    <w:rsid w:val="00632761"/>
    <w:rsid w:val="00634652"/>
    <w:rsid w:val="006356AA"/>
    <w:rsid w:val="00635CE7"/>
    <w:rsid w:val="006366ED"/>
    <w:rsid w:val="00640685"/>
    <w:rsid w:val="0064164F"/>
    <w:rsid w:val="00641757"/>
    <w:rsid w:val="00642FE1"/>
    <w:rsid w:val="00644441"/>
    <w:rsid w:val="00651B6B"/>
    <w:rsid w:val="00651EB1"/>
    <w:rsid w:val="006526A9"/>
    <w:rsid w:val="00653A13"/>
    <w:rsid w:val="00653A30"/>
    <w:rsid w:val="006544A0"/>
    <w:rsid w:val="00654CF0"/>
    <w:rsid w:val="00655F33"/>
    <w:rsid w:val="0065654E"/>
    <w:rsid w:val="00656982"/>
    <w:rsid w:val="00657E7C"/>
    <w:rsid w:val="00660939"/>
    <w:rsid w:val="00661C0A"/>
    <w:rsid w:val="0066336F"/>
    <w:rsid w:val="00663DF2"/>
    <w:rsid w:val="006656D4"/>
    <w:rsid w:val="00666497"/>
    <w:rsid w:val="00667ECC"/>
    <w:rsid w:val="00671767"/>
    <w:rsid w:val="0067481E"/>
    <w:rsid w:val="00674CF3"/>
    <w:rsid w:val="00681F9C"/>
    <w:rsid w:val="00682A95"/>
    <w:rsid w:val="00682B38"/>
    <w:rsid w:val="006851F9"/>
    <w:rsid w:val="00687BA6"/>
    <w:rsid w:val="0069307B"/>
    <w:rsid w:val="00695FEF"/>
    <w:rsid w:val="006972ED"/>
    <w:rsid w:val="006A2761"/>
    <w:rsid w:val="006A3A31"/>
    <w:rsid w:val="006A7174"/>
    <w:rsid w:val="006A7688"/>
    <w:rsid w:val="006B1881"/>
    <w:rsid w:val="006B1E13"/>
    <w:rsid w:val="006B2177"/>
    <w:rsid w:val="006B22C2"/>
    <w:rsid w:val="006B5F57"/>
    <w:rsid w:val="006B65CA"/>
    <w:rsid w:val="006B6F5F"/>
    <w:rsid w:val="006C3C3A"/>
    <w:rsid w:val="006C4FA3"/>
    <w:rsid w:val="006C4FE5"/>
    <w:rsid w:val="006C588F"/>
    <w:rsid w:val="006C6837"/>
    <w:rsid w:val="006C7E2F"/>
    <w:rsid w:val="006D4111"/>
    <w:rsid w:val="006E7E7D"/>
    <w:rsid w:val="006F0B05"/>
    <w:rsid w:val="006F3EAD"/>
    <w:rsid w:val="006F40FC"/>
    <w:rsid w:val="00700C01"/>
    <w:rsid w:val="007031EA"/>
    <w:rsid w:val="00711AEC"/>
    <w:rsid w:val="007122D1"/>
    <w:rsid w:val="00715918"/>
    <w:rsid w:val="00720DA9"/>
    <w:rsid w:val="007211BB"/>
    <w:rsid w:val="00721B73"/>
    <w:rsid w:val="007248A8"/>
    <w:rsid w:val="00724D7B"/>
    <w:rsid w:val="00726149"/>
    <w:rsid w:val="00726CE4"/>
    <w:rsid w:val="00726F52"/>
    <w:rsid w:val="00730F3D"/>
    <w:rsid w:val="007315DD"/>
    <w:rsid w:val="007332FF"/>
    <w:rsid w:val="00737545"/>
    <w:rsid w:val="00737D11"/>
    <w:rsid w:val="007422D1"/>
    <w:rsid w:val="00745B18"/>
    <w:rsid w:val="007509D4"/>
    <w:rsid w:val="007539A3"/>
    <w:rsid w:val="00755474"/>
    <w:rsid w:val="00756D28"/>
    <w:rsid w:val="00757FA8"/>
    <w:rsid w:val="00760979"/>
    <w:rsid w:val="00761354"/>
    <w:rsid w:val="00764C11"/>
    <w:rsid w:val="00764F6A"/>
    <w:rsid w:val="00765E74"/>
    <w:rsid w:val="007715E8"/>
    <w:rsid w:val="00772614"/>
    <w:rsid w:val="00775163"/>
    <w:rsid w:val="00775640"/>
    <w:rsid w:val="007764D0"/>
    <w:rsid w:val="00777398"/>
    <w:rsid w:val="00777A8E"/>
    <w:rsid w:val="00777CA1"/>
    <w:rsid w:val="007801C9"/>
    <w:rsid w:val="007803F3"/>
    <w:rsid w:val="00782D73"/>
    <w:rsid w:val="00785517"/>
    <w:rsid w:val="007870D1"/>
    <w:rsid w:val="00787600"/>
    <w:rsid w:val="0079081E"/>
    <w:rsid w:val="00794153"/>
    <w:rsid w:val="007A239C"/>
    <w:rsid w:val="007A3A19"/>
    <w:rsid w:val="007A43ED"/>
    <w:rsid w:val="007A46F8"/>
    <w:rsid w:val="007A5846"/>
    <w:rsid w:val="007A7EBA"/>
    <w:rsid w:val="007B17C6"/>
    <w:rsid w:val="007B6945"/>
    <w:rsid w:val="007B6D8F"/>
    <w:rsid w:val="007C0CB7"/>
    <w:rsid w:val="007C17DC"/>
    <w:rsid w:val="007C44FE"/>
    <w:rsid w:val="007C586A"/>
    <w:rsid w:val="007C59A6"/>
    <w:rsid w:val="007C5EE5"/>
    <w:rsid w:val="007C623B"/>
    <w:rsid w:val="007C640A"/>
    <w:rsid w:val="007D15F0"/>
    <w:rsid w:val="007D7589"/>
    <w:rsid w:val="007E168C"/>
    <w:rsid w:val="007E2F28"/>
    <w:rsid w:val="007E3268"/>
    <w:rsid w:val="007E3960"/>
    <w:rsid w:val="007E6BB9"/>
    <w:rsid w:val="007E6FB3"/>
    <w:rsid w:val="007F3565"/>
    <w:rsid w:val="007F42C7"/>
    <w:rsid w:val="007F4A6E"/>
    <w:rsid w:val="00804325"/>
    <w:rsid w:val="00805F4E"/>
    <w:rsid w:val="008073D4"/>
    <w:rsid w:val="00807404"/>
    <w:rsid w:val="0080788D"/>
    <w:rsid w:val="00810BA1"/>
    <w:rsid w:val="00811874"/>
    <w:rsid w:val="00811CE7"/>
    <w:rsid w:val="008125C8"/>
    <w:rsid w:val="008132BB"/>
    <w:rsid w:val="00815C03"/>
    <w:rsid w:val="0081731A"/>
    <w:rsid w:val="008177E7"/>
    <w:rsid w:val="00823CDD"/>
    <w:rsid w:val="00823F17"/>
    <w:rsid w:val="00823F5A"/>
    <w:rsid w:val="0082443D"/>
    <w:rsid w:val="0083153A"/>
    <w:rsid w:val="00831EC1"/>
    <w:rsid w:val="00836AAF"/>
    <w:rsid w:val="00837A84"/>
    <w:rsid w:val="00837AA7"/>
    <w:rsid w:val="00841433"/>
    <w:rsid w:val="0084343C"/>
    <w:rsid w:val="00846A84"/>
    <w:rsid w:val="00852334"/>
    <w:rsid w:val="0085518B"/>
    <w:rsid w:val="00856285"/>
    <w:rsid w:val="00857730"/>
    <w:rsid w:val="00862A1D"/>
    <w:rsid w:val="00864703"/>
    <w:rsid w:val="00864D34"/>
    <w:rsid w:val="00865781"/>
    <w:rsid w:val="008719CB"/>
    <w:rsid w:val="0087280A"/>
    <w:rsid w:val="008738AB"/>
    <w:rsid w:val="0087406C"/>
    <w:rsid w:val="0087494D"/>
    <w:rsid w:val="00875C79"/>
    <w:rsid w:val="00875E6D"/>
    <w:rsid w:val="00881153"/>
    <w:rsid w:val="0088331A"/>
    <w:rsid w:val="00890504"/>
    <w:rsid w:val="0089154B"/>
    <w:rsid w:val="0089315C"/>
    <w:rsid w:val="00894C9C"/>
    <w:rsid w:val="0089547F"/>
    <w:rsid w:val="00896FB6"/>
    <w:rsid w:val="00897F00"/>
    <w:rsid w:val="008A1C93"/>
    <w:rsid w:val="008A500A"/>
    <w:rsid w:val="008B364B"/>
    <w:rsid w:val="008B5042"/>
    <w:rsid w:val="008B5FCB"/>
    <w:rsid w:val="008B61C2"/>
    <w:rsid w:val="008B7339"/>
    <w:rsid w:val="008B7ADF"/>
    <w:rsid w:val="008C3643"/>
    <w:rsid w:val="008C4AE5"/>
    <w:rsid w:val="008C721F"/>
    <w:rsid w:val="008D08D9"/>
    <w:rsid w:val="008D5336"/>
    <w:rsid w:val="008D5AD1"/>
    <w:rsid w:val="008D607F"/>
    <w:rsid w:val="008D6102"/>
    <w:rsid w:val="008D62C7"/>
    <w:rsid w:val="008D70F9"/>
    <w:rsid w:val="008E12C1"/>
    <w:rsid w:val="008E166D"/>
    <w:rsid w:val="008E16EF"/>
    <w:rsid w:val="008E210F"/>
    <w:rsid w:val="008E4DF0"/>
    <w:rsid w:val="008E526A"/>
    <w:rsid w:val="008E5B85"/>
    <w:rsid w:val="008F1457"/>
    <w:rsid w:val="008F162A"/>
    <w:rsid w:val="008F5504"/>
    <w:rsid w:val="00904E22"/>
    <w:rsid w:val="00905BA1"/>
    <w:rsid w:val="00913E50"/>
    <w:rsid w:val="0091403A"/>
    <w:rsid w:val="009144AC"/>
    <w:rsid w:val="00914E39"/>
    <w:rsid w:val="0091557F"/>
    <w:rsid w:val="00915ED0"/>
    <w:rsid w:val="00916BD0"/>
    <w:rsid w:val="0092058F"/>
    <w:rsid w:val="00920E28"/>
    <w:rsid w:val="0092109F"/>
    <w:rsid w:val="009231E6"/>
    <w:rsid w:val="0092579F"/>
    <w:rsid w:val="009271EC"/>
    <w:rsid w:val="00931760"/>
    <w:rsid w:val="009331C5"/>
    <w:rsid w:val="00933389"/>
    <w:rsid w:val="009406C2"/>
    <w:rsid w:val="00941171"/>
    <w:rsid w:val="00941969"/>
    <w:rsid w:val="00942727"/>
    <w:rsid w:val="009469E5"/>
    <w:rsid w:val="0094717A"/>
    <w:rsid w:val="009479DB"/>
    <w:rsid w:val="009513E6"/>
    <w:rsid w:val="009521FE"/>
    <w:rsid w:val="00953686"/>
    <w:rsid w:val="009540C4"/>
    <w:rsid w:val="009629D4"/>
    <w:rsid w:val="00963C93"/>
    <w:rsid w:val="009640EC"/>
    <w:rsid w:val="00964A52"/>
    <w:rsid w:val="009670CB"/>
    <w:rsid w:val="009677CC"/>
    <w:rsid w:val="009711B2"/>
    <w:rsid w:val="00971623"/>
    <w:rsid w:val="009727A0"/>
    <w:rsid w:val="00972C86"/>
    <w:rsid w:val="009732B4"/>
    <w:rsid w:val="00974A81"/>
    <w:rsid w:val="00974FC9"/>
    <w:rsid w:val="0097570A"/>
    <w:rsid w:val="009828A4"/>
    <w:rsid w:val="00983D49"/>
    <w:rsid w:val="00984CD6"/>
    <w:rsid w:val="00984EDE"/>
    <w:rsid w:val="009857B1"/>
    <w:rsid w:val="00985895"/>
    <w:rsid w:val="00987A53"/>
    <w:rsid w:val="00990B57"/>
    <w:rsid w:val="00993F99"/>
    <w:rsid w:val="009A0986"/>
    <w:rsid w:val="009A10BF"/>
    <w:rsid w:val="009A45C8"/>
    <w:rsid w:val="009A59C7"/>
    <w:rsid w:val="009A60B0"/>
    <w:rsid w:val="009A7E67"/>
    <w:rsid w:val="009B1F15"/>
    <w:rsid w:val="009B30CF"/>
    <w:rsid w:val="009B3782"/>
    <w:rsid w:val="009B6741"/>
    <w:rsid w:val="009C130B"/>
    <w:rsid w:val="009C1EA5"/>
    <w:rsid w:val="009C37C0"/>
    <w:rsid w:val="009C447C"/>
    <w:rsid w:val="009C5EF4"/>
    <w:rsid w:val="009D5762"/>
    <w:rsid w:val="009D5DAA"/>
    <w:rsid w:val="009D6899"/>
    <w:rsid w:val="009D79C1"/>
    <w:rsid w:val="009D7FCC"/>
    <w:rsid w:val="009E08FB"/>
    <w:rsid w:val="009E10AB"/>
    <w:rsid w:val="009E26CF"/>
    <w:rsid w:val="009E2F21"/>
    <w:rsid w:val="009E59B0"/>
    <w:rsid w:val="009F4063"/>
    <w:rsid w:val="009F4DC5"/>
    <w:rsid w:val="009F5FE7"/>
    <w:rsid w:val="009F63DE"/>
    <w:rsid w:val="009F7181"/>
    <w:rsid w:val="009F7A4D"/>
    <w:rsid w:val="00A01520"/>
    <w:rsid w:val="00A01CBE"/>
    <w:rsid w:val="00A02E22"/>
    <w:rsid w:val="00A11758"/>
    <w:rsid w:val="00A131E8"/>
    <w:rsid w:val="00A13C0D"/>
    <w:rsid w:val="00A14149"/>
    <w:rsid w:val="00A142C9"/>
    <w:rsid w:val="00A14979"/>
    <w:rsid w:val="00A15312"/>
    <w:rsid w:val="00A15DA7"/>
    <w:rsid w:val="00A20F48"/>
    <w:rsid w:val="00A22010"/>
    <w:rsid w:val="00A26FC1"/>
    <w:rsid w:val="00A3398D"/>
    <w:rsid w:val="00A34603"/>
    <w:rsid w:val="00A36862"/>
    <w:rsid w:val="00A432AF"/>
    <w:rsid w:val="00A43D57"/>
    <w:rsid w:val="00A44CF2"/>
    <w:rsid w:val="00A45A87"/>
    <w:rsid w:val="00A45E59"/>
    <w:rsid w:val="00A45E80"/>
    <w:rsid w:val="00A50A8E"/>
    <w:rsid w:val="00A56BA7"/>
    <w:rsid w:val="00A577F6"/>
    <w:rsid w:val="00A57AD0"/>
    <w:rsid w:val="00A654F5"/>
    <w:rsid w:val="00A676AA"/>
    <w:rsid w:val="00A679E5"/>
    <w:rsid w:val="00A7165E"/>
    <w:rsid w:val="00A718FE"/>
    <w:rsid w:val="00A7250A"/>
    <w:rsid w:val="00A73BCC"/>
    <w:rsid w:val="00A760C8"/>
    <w:rsid w:val="00A772F6"/>
    <w:rsid w:val="00A80298"/>
    <w:rsid w:val="00A806B7"/>
    <w:rsid w:val="00A80F6A"/>
    <w:rsid w:val="00A82A65"/>
    <w:rsid w:val="00A8503E"/>
    <w:rsid w:val="00A850E0"/>
    <w:rsid w:val="00A86014"/>
    <w:rsid w:val="00A910EE"/>
    <w:rsid w:val="00A94D03"/>
    <w:rsid w:val="00A96B89"/>
    <w:rsid w:val="00A96D19"/>
    <w:rsid w:val="00AA0F15"/>
    <w:rsid w:val="00AA579D"/>
    <w:rsid w:val="00AA764D"/>
    <w:rsid w:val="00AA7853"/>
    <w:rsid w:val="00AA7BD6"/>
    <w:rsid w:val="00AB0FD7"/>
    <w:rsid w:val="00AB4560"/>
    <w:rsid w:val="00AC0DDC"/>
    <w:rsid w:val="00AC1625"/>
    <w:rsid w:val="00AC3648"/>
    <w:rsid w:val="00AC6B2C"/>
    <w:rsid w:val="00AC747D"/>
    <w:rsid w:val="00AC77CD"/>
    <w:rsid w:val="00AD0867"/>
    <w:rsid w:val="00AD1AEC"/>
    <w:rsid w:val="00AD2AF1"/>
    <w:rsid w:val="00AD405A"/>
    <w:rsid w:val="00AD67F5"/>
    <w:rsid w:val="00AE00E6"/>
    <w:rsid w:val="00AE18C7"/>
    <w:rsid w:val="00AE5A90"/>
    <w:rsid w:val="00AE5D22"/>
    <w:rsid w:val="00AF2549"/>
    <w:rsid w:val="00AF3D98"/>
    <w:rsid w:val="00AF5294"/>
    <w:rsid w:val="00B01A00"/>
    <w:rsid w:val="00B02F00"/>
    <w:rsid w:val="00B0580E"/>
    <w:rsid w:val="00B107A7"/>
    <w:rsid w:val="00B10EBE"/>
    <w:rsid w:val="00B11BB3"/>
    <w:rsid w:val="00B12AE7"/>
    <w:rsid w:val="00B139B3"/>
    <w:rsid w:val="00B14F49"/>
    <w:rsid w:val="00B16BC2"/>
    <w:rsid w:val="00B238D0"/>
    <w:rsid w:val="00B25422"/>
    <w:rsid w:val="00B25F02"/>
    <w:rsid w:val="00B2626E"/>
    <w:rsid w:val="00B30629"/>
    <w:rsid w:val="00B31F36"/>
    <w:rsid w:val="00B32FC4"/>
    <w:rsid w:val="00B3359F"/>
    <w:rsid w:val="00B3505D"/>
    <w:rsid w:val="00B3773E"/>
    <w:rsid w:val="00B42A1E"/>
    <w:rsid w:val="00B43D1D"/>
    <w:rsid w:val="00B50849"/>
    <w:rsid w:val="00B518AD"/>
    <w:rsid w:val="00B52CDA"/>
    <w:rsid w:val="00B531DC"/>
    <w:rsid w:val="00B54A7E"/>
    <w:rsid w:val="00B5561B"/>
    <w:rsid w:val="00B60455"/>
    <w:rsid w:val="00B60787"/>
    <w:rsid w:val="00B62A17"/>
    <w:rsid w:val="00B63739"/>
    <w:rsid w:val="00B63ED0"/>
    <w:rsid w:val="00B64E02"/>
    <w:rsid w:val="00B655FB"/>
    <w:rsid w:val="00B65677"/>
    <w:rsid w:val="00B67893"/>
    <w:rsid w:val="00B76064"/>
    <w:rsid w:val="00B766F9"/>
    <w:rsid w:val="00B76EDE"/>
    <w:rsid w:val="00B80114"/>
    <w:rsid w:val="00B8112B"/>
    <w:rsid w:val="00B82076"/>
    <w:rsid w:val="00B83F6C"/>
    <w:rsid w:val="00B84589"/>
    <w:rsid w:val="00B846A6"/>
    <w:rsid w:val="00B85222"/>
    <w:rsid w:val="00B8660A"/>
    <w:rsid w:val="00B866F0"/>
    <w:rsid w:val="00B90113"/>
    <w:rsid w:val="00B91F01"/>
    <w:rsid w:val="00B92A8C"/>
    <w:rsid w:val="00B936F7"/>
    <w:rsid w:val="00B93F45"/>
    <w:rsid w:val="00BA0F97"/>
    <w:rsid w:val="00BA211B"/>
    <w:rsid w:val="00BA5FF4"/>
    <w:rsid w:val="00BB0D14"/>
    <w:rsid w:val="00BB23DC"/>
    <w:rsid w:val="00BB2F83"/>
    <w:rsid w:val="00BB4A71"/>
    <w:rsid w:val="00BC1857"/>
    <w:rsid w:val="00BC1A4E"/>
    <w:rsid w:val="00BC20FD"/>
    <w:rsid w:val="00BC27C2"/>
    <w:rsid w:val="00BC42E8"/>
    <w:rsid w:val="00BC44A4"/>
    <w:rsid w:val="00BD1990"/>
    <w:rsid w:val="00BD7C22"/>
    <w:rsid w:val="00BE4143"/>
    <w:rsid w:val="00BE7088"/>
    <w:rsid w:val="00BE7805"/>
    <w:rsid w:val="00BF149F"/>
    <w:rsid w:val="00BF3B1A"/>
    <w:rsid w:val="00BF5E7B"/>
    <w:rsid w:val="00BF6C43"/>
    <w:rsid w:val="00BF761E"/>
    <w:rsid w:val="00C01E04"/>
    <w:rsid w:val="00C02113"/>
    <w:rsid w:val="00C03996"/>
    <w:rsid w:val="00C06322"/>
    <w:rsid w:val="00C06B8E"/>
    <w:rsid w:val="00C07356"/>
    <w:rsid w:val="00C114E8"/>
    <w:rsid w:val="00C11E13"/>
    <w:rsid w:val="00C11FED"/>
    <w:rsid w:val="00C12287"/>
    <w:rsid w:val="00C12633"/>
    <w:rsid w:val="00C128D5"/>
    <w:rsid w:val="00C16273"/>
    <w:rsid w:val="00C16DDF"/>
    <w:rsid w:val="00C2086A"/>
    <w:rsid w:val="00C22E43"/>
    <w:rsid w:val="00C25036"/>
    <w:rsid w:val="00C25938"/>
    <w:rsid w:val="00C25F58"/>
    <w:rsid w:val="00C27807"/>
    <w:rsid w:val="00C30B8C"/>
    <w:rsid w:val="00C30BF2"/>
    <w:rsid w:val="00C32E97"/>
    <w:rsid w:val="00C33E59"/>
    <w:rsid w:val="00C33ED2"/>
    <w:rsid w:val="00C347F0"/>
    <w:rsid w:val="00C37DF9"/>
    <w:rsid w:val="00C40799"/>
    <w:rsid w:val="00C435D1"/>
    <w:rsid w:val="00C44FCE"/>
    <w:rsid w:val="00C45363"/>
    <w:rsid w:val="00C46B5A"/>
    <w:rsid w:val="00C50DFF"/>
    <w:rsid w:val="00C535F9"/>
    <w:rsid w:val="00C55B5E"/>
    <w:rsid w:val="00C56A4E"/>
    <w:rsid w:val="00C6132B"/>
    <w:rsid w:val="00C61F6A"/>
    <w:rsid w:val="00C61F6E"/>
    <w:rsid w:val="00C62918"/>
    <w:rsid w:val="00C635D6"/>
    <w:rsid w:val="00C65972"/>
    <w:rsid w:val="00C663E4"/>
    <w:rsid w:val="00C6723F"/>
    <w:rsid w:val="00C67A5E"/>
    <w:rsid w:val="00C70B45"/>
    <w:rsid w:val="00C72838"/>
    <w:rsid w:val="00C73A3E"/>
    <w:rsid w:val="00C73FE7"/>
    <w:rsid w:val="00C76A20"/>
    <w:rsid w:val="00C76F51"/>
    <w:rsid w:val="00C867FF"/>
    <w:rsid w:val="00C86A05"/>
    <w:rsid w:val="00C87CE6"/>
    <w:rsid w:val="00C91B33"/>
    <w:rsid w:val="00C921C8"/>
    <w:rsid w:val="00C9267A"/>
    <w:rsid w:val="00C92EBF"/>
    <w:rsid w:val="00C93C90"/>
    <w:rsid w:val="00C944DA"/>
    <w:rsid w:val="00C95BEC"/>
    <w:rsid w:val="00C971BF"/>
    <w:rsid w:val="00CA3A40"/>
    <w:rsid w:val="00CA4630"/>
    <w:rsid w:val="00CA6595"/>
    <w:rsid w:val="00CA6682"/>
    <w:rsid w:val="00CB1C33"/>
    <w:rsid w:val="00CB40C4"/>
    <w:rsid w:val="00CB460B"/>
    <w:rsid w:val="00CB621C"/>
    <w:rsid w:val="00CC21B0"/>
    <w:rsid w:val="00CC2A3C"/>
    <w:rsid w:val="00CD2D1D"/>
    <w:rsid w:val="00CD5F94"/>
    <w:rsid w:val="00CE0255"/>
    <w:rsid w:val="00CE18D8"/>
    <w:rsid w:val="00CE2AA2"/>
    <w:rsid w:val="00CE33AE"/>
    <w:rsid w:val="00CE3BE3"/>
    <w:rsid w:val="00CE4469"/>
    <w:rsid w:val="00CE46EF"/>
    <w:rsid w:val="00CF05E5"/>
    <w:rsid w:val="00CF11BD"/>
    <w:rsid w:val="00CF3FB9"/>
    <w:rsid w:val="00CF5257"/>
    <w:rsid w:val="00CF5F2E"/>
    <w:rsid w:val="00CF6165"/>
    <w:rsid w:val="00CF6CBA"/>
    <w:rsid w:val="00CF7EA2"/>
    <w:rsid w:val="00D0044D"/>
    <w:rsid w:val="00D01008"/>
    <w:rsid w:val="00D0224D"/>
    <w:rsid w:val="00D02785"/>
    <w:rsid w:val="00D02826"/>
    <w:rsid w:val="00D034DB"/>
    <w:rsid w:val="00D100A5"/>
    <w:rsid w:val="00D17AB6"/>
    <w:rsid w:val="00D200C6"/>
    <w:rsid w:val="00D20C37"/>
    <w:rsid w:val="00D23CD6"/>
    <w:rsid w:val="00D25BB2"/>
    <w:rsid w:val="00D32A39"/>
    <w:rsid w:val="00D3313C"/>
    <w:rsid w:val="00D35B35"/>
    <w:rsid w:val="00D3798F"/>
    <w:rsid w:val="00D431E8"/>
    <w:rsid w:val="00D46A7B"/>
    <w:rsid w:val="00D52703"/>
    <w:rsid w:val="00D542BA"/>
    <w:rsid w:val="00D5506F"/>
    <w:rsid w:val="00D564EE"/>
    <w:rsid w:val="00D5782B"/>
    <w:rsid w:val="00D60368"/>
    <w:rsid w:val="00D64936"/>
    <w:rsid w:val="00D64F1A"/>
    <w:rsid w:val="00D66A72"/>
    <w:rsid w:val="00D713DC"/>
    <w:rsid w:val="00D72F4D"/>
    <w:rsid w:val="00D736AC"/>
    <w:rsid w:val="00D7671D"/>
    <w:rsid w:val="00D76C99"/>
    <w:rsid w:val="00D77A08"/>
    <w:rsid w:val="00D81413"/>
    <w:rsid w:val="00D8315A"/>
    <w:rsid w:val="00D85F8F"/>
    <w:rsid w:val="00D860A8"/>
    <w:rsid w:val="00D87E57"/>
    <w:rsid w:val="00D87EFA"/>
    <w:rsid w:val="00D954FC"/>
    <w:rsid w:val="00DA1BA5"/>
    <w:rsid w:val="00DA580C"/>
    <w:rsid w:val="00DA5C13"/>
    <w:rsid w:val="00DA5CAA"/>
    <w:rsid w:val="00DA5D90"/>
    <w:rsid w:val="00DA6C29"/>
    <w:rsid w:val="00DA6E8D"/>
    <w:rsid w:val="00DA7222"/>
    <w:rsid w:val="00DA761F"/>
    <w:rsid w:val="00DB0CD1"/>
    <w:rsid w:val="00DB15EA"/>
    <w:rsid w:val="00DB2FF6"/>
    <w:rsid w:val="00DB4343"/>
    <w:rsid w:val="00DB6260"/>
    <w:rsid w:val="00DC134B"/>
    <w:rsid w:val="00DC3BF6"/>
    <w:rsid w:val="00DC6DD2"/>
    <w:rsid w:val="00DD15D1"/>
    <w:rsid w:val="00DD2575"/>
    <w:rsid w:val="00DD3185"/>
    <w:rsid w:val="00DD7E12"/>
    <w:rsid w:val="00DE0CF4"/>
    <w:rsid w:val="00DE0E63"/>
    <w:rsid w:val="00DE3DC6"/>
    <w:rsid w:val="00DE41A9"/>
    <w:rsid w:val="00DE4819"/>
    <w:rsid w:val="00DF594E"/>
    <w:rsid w:val="00DF5D9B"/>
    <w:rsid w:val="00DF5F8A"/>
    <w:rsid w:val="00DF6BA3"/>
    <w:rsid w:val="00DF7B1D"/>
    <w:rsid w:val="00E00756"/>
    <w:rsid w:val="00E04622"/>
    <w:rsid w:val="00E0553E"/>
    <w:rsid w:val="00E062DB"/>
    <w:rsid w:val="00E06486"/>
    <w:rsid w:val="00E101FB"/>
    <w:rsid w:val="00E2064E"/>
    <w:rsid w:val="00E22246"/>
    <w:rsid w:val="00E2359B"/>
    <w:rsid w:val="00E24230"/>
    <w:rsid w:val="00E26A69"/>
    <w:rsid w:val="00E3006E"/>
    <w:rsid w:val="00E3107A"/>
    <w:rsid w:val="00E32BC9"/>
    <w:rsid w:val="00E35388"/>
    <w:rsid w:val="00E366F4"/>
    <w:rsid w:val="00E40CE6"/>
    <w:rsid w:val="00E41662"/>
    <w:rsid w:val="00E41861"/>
    <w:rsid w:val="00E421D7"/>
    <w:rsid w:val="00E43757"/>
    <w:rsid w:val="00E43E07"/>
    <w:rsid w:val="00E454FE"/>
    <w:rsid w:val="00E46464"/>
    <w:rsid w:val="00E5259D"/>
    <w:rsid w:val="00E54AB4"/>
    <w:rsid w:val="00E572F8"/>
    <w:rsid w:val="00E57AFA"/>
    <w:rsid w:val="00E57DD3"/>
    <w:rsid w:val="00E63FB0"/>
    <w:rsid w:val="00E6479A"/>
    <w:rsid w:val="00E64E04"/>
    <w:rsid w:val="00E66D45"/>
    <w:rsid w:val="00E66E1D"/>
    <w:rsid w:val="00E67F27"/>
    <w:rsid w:val="00E7021D"/>
    <w:rsid w:val="00E703A1"/>
    <w:rsid w:val="00E74064"/>
    <w:rsid w:val="00E74F4F"/>
    <w:rsid w:val="00E75E18"/>
    <w:rsid w:val="00E770AD"/>
    <w:rsid w:val="00E80717"/>
    <w:rsid w:val="00E83D00"/>
    <w:rsid w:val="00E84179"/>
    <w:rsid w:val="00E85410"/>
    <w:rsid w:val="00E86F20"/>
    <w:rsid w:val="00E913F3"/>
    <w:rsid w:val="00E95BDA"/>
    <w:rsid w:val="00EA05E3"/>
    <w:rsid w:val="00EA4368"/>
    <w:rsid w:val="00EA5AD9"/>
    <w:rsid w:val="00EB1658"/>
    <w:rsid w:val="00EB38C5"/>
    <w:rsid w:val="00EB395C"/>
    <w:rsid w:val="00EB4A9B"/>
    <w:rsid w:val="00EB60BD"/>
    <w:rsid w:val="00EB6F95"/>
    <w:rsid w:val="00EC4E95"/>
    <w:rsid w:val="00EC582D"/>
    <w:rsid w:val="00EC6E2F"/>
    <w:rsid w:val="00EC7B03"/>
    <w:rsid w:val="00ED2066"/>
    <w:rsid w:val="00ED2DC6"/>
    <w:rsid w:val="00ED34E5"/>
    <w:rsid w:val="00ED623D"/>
    <w:rsid w:val="00ED6426"/>
    <w:rsid w:val="00ED75CF"/>
    <w:rsid w:val="00ED76B8"/>
    <w:rsid w:val="00EF07FE"/>
    <w:rsid w:val="00EF0A7A"/>
    <w:rsid w:val="00EF100A"/>
    <w:rsid w:val="00EF164D"/>
    <w:rsid w:val="00EF19EA"/>
    <w:rsid w:val="00EF1F0F"/>
    <w:rsid w:val="00EF1F97"/>
    <w:rsid w:val="00EF74A8"/>
    <w:rsid w:val="00F003FB"/>
    <w:rsid w:val="00F00A7A"/>
    <w:rsid w:val="00F04F30"/>
    <w:rsid w:val="00F139D7"/>
    <w:rsid w:val="00F1402D"/>
    <w:rsid w:val="00F161F4"/>
    <w:rsid w:val="00F1672D"/>
    <w:rsid w:val="00F16CC1"/>
    <w:rsid w:val="00F224F9"/>
    <w:rsid w:val="00F2707F"/>
    <w:rsid w:val="00F32283"/>
    <w:rsid w:val="00F32B1D"/>
    <w:rsid w:val="00F32FB0"/>
    <w:rsid w:val="00F330A3"/>
    <w:rsid w:val="00F34C75"/>
    <w:rsid w:val="00F35690"/>
    <w:rsid w:val="00F4033D"/>
    <w:rsid w:val="00F4500D"/>
    <w:rsid w:val="00F45CDA"/>
    <w:rsid w:val="00F512BD"/>
    <w:rsid w:val="00F536D1"/>
    <w:rsid w:val="00F55D95"/>
    <w:rsid w:val="00F60CF8"/>
    <w:rsid w:val="00F6102B"/>
    <w:rsid w:val="00F65542"/>
    <w:rsid w:val="00F670CB"/>
    <w:rsid w:val="00F67573"/>
    <w:rsid w:val="00F717BE"/>
    <w:rsid w:val="00F76DBA"/>
    <w:rsid w:val="00F77EA7"/>
    <w:rsid w:val="00F801B4"/>
    <w:rsid w:val="00F81B51"/>
    <w:rsid w:val="00F845ED"/>
    <w:rsid w:val="00F85878"/>
    <w:rsid w:val="00F85B3B"/>
    <w:rsid w:val="00F86C5D"/>
    <w:rsid w:val="00F87147"/>
    <w:rsid w:val="00F874A7"/>
    <w:rsid w:val="00F906FA"/>
    <w:rsid w:val="00F90735"/>
    <w:rsid w:val="00F908C7"/>
    <w:rsid w:val="00F92E09"/>
    <w:rsid w:val="00FA0CC0"/>
    <w:rsid w:val="00FA3248"/>
    <w:rsid w:val="00FA35CA"/>
    <w:rsid w:val="00FB2E39"/>
    <w:rsid w:val="00FB4013"/>
    <w:rsid w:val="00FB43FD"/>
    <w:rsid w:val="00FC2319"/>
    <w:rsid w:val="00FC4DCD"/>
    <w:rsid w:val="00FC530C"/>
    <w:rsid w:val="00FD3110"/>
    <w:rsid w:val="00FD4814"/>
    <w:rsid w:val="00FE02B0"/>
    <w:rsid w:val="00FE1350"/>
    <w:rsid w:val="00FE20C9"/>
    <w:rsid w:val="00FE435A"/>
    <w:rsid w:val="00FE46A9"/>
    <w:rsid w:val="00FE53B2"/>
    <w:rsid w:val="00FE59C3"/>
    <w:rsid w:val="00FE697B"/>
    <w:rsid w:val="00FE73A4"/>
    <w:rsid w:val="00FF073E"/>
    <w:rsid w:val="00FF202F"/>
    <w:rsid w:val="00FF413A"/>
    <w:rsid w:val="056007BC"/>
    <w:rsid w:val="091E731F"/>
    <w:rsid w:val="0C0B585A"/>
    <w:rsid w:val="0F1B4006"/>
    <w:rsid w:val="10A11BCB"/>
    <w:rsid w:val="14D013EF"/>
    <w:rsid w:val="18EF4442"/>
    <w:rsid w:val="1AB967D1"/>
    <w:rsid w:val="215A09BE"/>
    <w:rsid w:val="27FFDC7E"/>
    <w:rsid w:val="2987256D"/>
    <w:rsid w:val="2AAD1B5F"/>
    <w:rsid w:val="2B577D1D"/>
    <w:rsid w:val="2E402CEA"/>
    <w:rsid w:val="2F7E264F"/>
    <w:rsid w:val="2FEB5CCB"/>
    <w:rsid w:val="30003B18"/>
    <w:rsid w:val="456D9FFE"/>
    <w:rsid w:val="45996FE4"/>
    <w:rsid w:val="48C90054"/>
    <w:rsid w:val="4A616416"/>
    <w:rsid w:val="4A6825AF"/>
    <w:rsid w:val="4F3504CA"/>
    <w:rsid w:val="511B51C5"/>
    <w:rsid w:val="51735F11"/>
    <w:rsid w:val="57A75A04"/>
    <w:rsid w:val="59486D73"/>
    <w:rsid w:val="5C54032F"/>
    <w:rsid w:val="5F3D09FC"/>
    <w:rsid w:val="5F6BBF2E"/>
    <w:rsid w:val="5F8FB5EA"/>
    <w:rsid w:val="627B3D15"/>
    <w:rsid w:val="62DE09DB"/>
    <w:rsid w:val="65F00576"/>
    <w:rsid w:val="66052227"/>
    <w:rsid w:val="660C43EA"/>
    <w:rsid w:val="667B0788"/>
    <w:rsid w:val="693634DB"/>
    <w:rsid w:val="6D341690"/>
    <w:rsid w:val="6E010D1B"/>
    <w:rsid w:val="6E3E2116"/>
    <w:rsid w:val="722C7C94"/>
    <w:rsid w:val="74FF6D18"/>
    <w:rsid w:val="76261D92"/>
    <w:rsid w:val="7706409E"/>
    <w:rsid w:val="77EF1FFC"/>
    <w:rsid w:val="7FE5AB21"/>
    <w:rsid w:val="DBD699A2"/>
    <w:rsid w:val="DD3F2C30"/>
    <w:rsid w:val="DDFFC90A"/>
    <w:rsid w:val="DEEB40DC"/>
    <w:rsid w:val="DFFBD5B8"/>
    <w:rsid w:val="EEF3E163"/>
    <w:rsid w:val="FAFE103F"/>
    <w:rsid w:val="FFBA29CC"/>
    <w:rsid w:val="FFFFE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customStyle="1" w:styleId="2">
    <w:name w:val="样式 0正文 + 首行缩进:  2 字符1"/>
    <w:basedOn w:val="1"/>
    <w:qFormat/>
    <w:uiPriority w:val="0"/>
    <w:pPr>
      <w:spacing w:line="360" w:lineRule="auto"/>
      <w:ind w:firstLine="200" w:firstLineChars="200"/>
    </w:pPr>
    <w:rPr>
      <w:rFonts w:cs="宋体"/>
      <w:sz w:val="28"/>
      <w:szCs w:val="20"/>
    </w:rPr>
  </w:style>
  <w:style w:type="paragraph" w:styleId="3">
    <w:name w:val="Balloon Text"/>
    <w:basedOn w:val="1"/>
    <w:semiHidden/>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100" w:beforeAutospacing="1" w:after="100" w:afterAutospacing="1"/>
      <w:jc w:val="left"/>
    </w:pPr>
    <w:rPr>
      <w:rFonts w:ascii="Calibri" w:hAnsi="Calibri" w:eastAsia="仿宋_GB2312" w:cs="Times New Roman"/>
      <w:kern w:val="0"/>
      <w:sz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customStyle="1" w:styleId="11">
    <w:name w:val="页脚 字符"/>
    <w:link w:val="4"/>
    <w:qFormat/>
    <w:uiPriority w:val="99"/>
    <w:rPr>
      <w:rFonts w:eastAsia="宋体"/>
      <w:kern w:val="2"/>
      <w:sz w:val="18"/>
      <w:szCs w:val="18"/>
      <w:lang w:val="en-US" w:eastAsia="zh-CN" w:bidi="ar-SA"/>
    </w:rPr>
  </w:style>
  <w:style w:type="character" w:customStyle="1" w:styleId="12">
    <w:name w:val="页眉 字符"/>
    <w:link w:val="5"/>
    <w:qFormat/>
    <w:uiPriority w:val="0"/>
    <w:rPr>
      <w:rFonts w:eastAsia="宋体"/>
      <w:kern w:val="2"/>
      <w:sz w:val="18"/>
      <w:szCs w:val="18"/>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microsoft.com/office/2006/relationships/keyMapCustomizations" Target="customizations.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27</Pages>
  <Words>2412</Words>
  <Characters>13749</Characters>
  <Lines>114</Lines>
  <Paragraphs>32</Paragraphs>
  <TotalTime>8</TotalTime>
  <ScaleCrop>false</ScaleCrop>
  <LinksUpToDate>false</LinksUpToDate>
  <CharactersWithSpaces>16129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2022-10-24T02:01:00Z</dcterms:created>
  <dc:creator>莫先孔</dc:creator>
  <cp:lastModifiedBy>huawei</cp:lastModifiedBy>
  <cp:lastPrinted>2012-08-17T08:16:00Z</cp:lastPrinted>
  <dcterms:modified xsi:type="dcterms:W3CDTF">2023-09-21T08:08:58Z</dcterms:modified>
  <dc:title>附件：（部门决算公开格式）</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1ACAF600371645D3ADF07D4BDFFCC3D5</vt:lpwstr>
  </property>
</Properties>
</file>