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仿宋_GB2312" w:cs="ArialUnicodeMS" w:asciiTheme="minorHAnsi" w:hAnsiTheme="minorHAnsi"/>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方正小标宋简体" w:hAnsi="黑体" w:eastAsia="方正小标宋简体"/>
          <w:bCs/>
          <w:color w:val="000000"/>
          <w:sz w:val="52"/>
          <w:szCs w:val="52"/>
        </w:rPr>
      </w:pPr>
      <w:r>
        <w:rPr>
          <w:rFonts w:hint="eastAsia" w:ascii="方正小标宋简体" w:eastAsia="方正小标宋简体" w:cs="ArialUnicodeMS"/>
          <w:kern w:val="0"/>
          <w:sz w:val="52"/>
          <w:szCs w:val="52"/>
        </w:rPr>
        <w:t>广西壮族自治区</w:t>
      </w:r>
      <w:r>
        <w:rPr>
          <w:rFonts w:hint="eastAsia" w:ascii="方正小标宋简体" w:hAnsi="黑体" w:eastAsia="方正小标宋简体"/>
          <w:bCs/>
          <w:color w:val="000000"/>
          <w:sz w:val="52"/>
          <w:szCs w:val="52"/>
          <w:u w:val="single"/>
        </w:rPr>
        <w:t xml:space="preserve">  南宁师范大学  </w:t>
      </w:r>
    </w:p>
    <w:p>
      <w:pPr>
        <w:jc w:val="center"/>
        <w:rPr>
          <w:rFonts w:ascii="方正小标宋简体" w:eastAsia="方正小标宋简体" w:cs="ArialUnicodeMS"/>
          <w:kern w:val="0"/>
          <w:sz w:val="52"/>
          <w:szCs w:val="52"/>
        </w:rPr>
      </w:pPr>
      <w:r>
        <w:rPr>
          <w:rFonts w:hint="eastAsia" w:ascii="方正小标宋简体" w:eastAsia="方正小标宋简体"/>
          <w:kern w:val="0"/>
          <w:sz w:val="52"/>
          <w:szCs w:val="52"/>
        </w:rPr>
        <w:t>20</w:t>
      </w:r>
      <w:r>
        <w:rPr>
          <w:rFonts w:ascii="方正小标宋简体" w:eastAsia="方正小标宋简体"/>
          <w:kern w:val="0"/>
          <w:sz w:val="52"/>
          <w:szCs w:val="52"/>
        </w:rPr>
        <w:t>20</w:t>
      </w:r>
      <w:r>
        <w:rPr>
          <w:rFonts w:hint="eastAsia" w:ascii="方正小标宋简体" w:eastAsia="方正小标宋简体" w:cs="ArialUnicodeMS"/>
          <w:kern w:val="0"/>
          <w:sz w:val="52"/>
          <w:szCs w:val="52"/>
        </w:rPr>
        <w:t>年度部门决算</w:t>
      </w:r>
    </w:p>
    <w:p>
      <w:pPr>
        <w:rPr>
          <w:rFonts w:ascii="方正小标宋简体" w:eastAsia="方正小标宋简体"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二、部门决算单位构成</w:t>
      </w:r>
    </w:p>
    <w:p>
      <w:pPr>
        <w:ind w:firstLine="645"/>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w:t>
      </w:r>
      <w:r>
        <w:rPr>
          <w:rFonts w:ascii="黑体" w:hAnsi="黑体" w:eastAsia="黑体"/>
          <w:sz w:val="32"/>
          <w:szCs w:val="32"/>
        </w:rPr>
        <w:t>20</w:t>
      </w:r>
      <w:r>
        <w:rPr>
          <w:rFonts w:hint="eastAsia" w:ascii="黑体" w:hAnsi="黑体" w:eastAsia="黑体"/>
          <w:sz w:val="32"/>
          <w:szCs w:val="32"/>
        </w:rPr>
        <w:t>年度部门决算报表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w:t>
      </w:r>
      <w:r>
        <w:rPr>
          <w:rFonts w:ascii="黑体" w:hAnsi="黑体" w:eastAsia="黑体"/>
          <w:sz w:val="32"/>
          <w:szCs w:val="32"/>
        </w:rPr>
        <w:t>20</w:t>
      </w:r>
      <w:r>
        <w:rPr>
          <w:rFonts w:hint="eastAsia" w:ascii="黑体" w:hAnsi="黑体" w:eastAsia="黑体"/>
          <w:sz w:val="32"/>
          <w:szCs w:val="32"/>
        </w:rPr>
        <w:t>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w:t>
      </w:r>
      <w:r>
        <w:rPr>
          <w:rFonts w:ascii="仿宋_GB2312" w:eastAsia="仿宋_GB2312"/>
          <w:kern w:val="0"/>
          <w:sz w:val="32"/>
          <w:szCs w:val="32"/>
        </w:rPr>
        <w:t>20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w:t>
      </w:r>
      <w:r>
        <w:rPr>
          <w:rFonts w:ascii="仿宋_GB2312" w:eastAsia="仿宋_GB2312"/>
          <w:kern w:val="0"/>
          <w:sz w:val="32"/>
          <w:szCs w:val="32"/>
        </w:rPr>
        <w:t>20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w:t>
      </w:r>
      <w:r>
        <w:rPr>
          <w:rFonts w:ascii="仿宋_GB2312" w:eastAsia="仿宋_GB2312" w:cs="仿宋_GB2312"/>
          <w:kern w:val="0"/>
          <w:sz w:val="32"/>
          <w:szCs w:val="32"/>
        </w:rPr>
        <w:t>20</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w:t>
      </w:r>
      <w:r>
        <w:rPr>
          <w:rFonts w:ascii="仿宋_GB2312" w:eastAsia="仿宋_GB2312"/>
          <w:kern w:val="0"/>
          <w:sz w:val="32"/>
          <w:szCs w:val="32"/>
        </w:rPr>
        <w:t>20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五、2020年度国有资本经营预算支出决算情况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sz w:val="32"/>
          <w:szCs w:val="32"/>
        </w:rPr>
        <w:t>六、一般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第四部分：名词解释</w:t>
      </w:r>
    </w:p>
    <w:p>
      <w:pPr>
        <w:jc w:val="center"/>
        <w:rPr>
          <w:rFonts w:ascii="仿宋_GB2312" w:eastAsia="仿宋_GB231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ind w:firstLine="646"/>
        <w:jc w:val="center"/>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pPr>
        <w:ind w:firstLine="646"/>
        <w:rPr>
          <w:rFonts w:ascii="黑体" w:hAnsi="黑体" w:eastAsia="黑体"/>
          <w:sz w:val="32"/>
          <w:szCs w:val="32"/>
        </w:rPr>
      </w:pPr>
      <w:r>
        <w:rPr>
          <w:rFonts w:hint="eastAsia" w:ascii="黑体" w:hAnsi="黑体" w:eastAsia="黑体"/>
          <w:sz w:val="32"/>
          <w:szCs w:val="32"/>
        </w:rPr>
        <w:t>一、主要职能</w:t>
      </w:r>
    </w:p>
    <w:p>
      <w:pPr>
        <w:ind w:firstLine="646"/>
        <w:rPr>
          <w:rFonts w:ascii="仿宋_GB2312" w:eastAsia="仿宋_GB2312"/>
          <w:sz w:val="32"/>
          <w:szCs w:val="32"/>
        </w:rPr>
      </w:pPr>
      <w:r>
        <w:rPr>
          <w:rFonts w:hint="eastAsia" w:ascii="仿宋_GB2312" w:eastAsia="仿宋_GB2312"/>
          <w:sz w:val="32"/>
          <w:szCs w:val="32"/>
        </w:rPr>
        <w:t>南宁师范大学是</w:t>
      </w:r>
      <w:r>
        <w:rPr>
          <w:rFonts w:ascii="仿宋_GB2312" w:eastAsia="仿宋_GB2312"/>
          <w:sz w:val="32"/>
          <w:szCs w:val="32"/>
        </w:rPr>
        <w:t>广西壮族自治区属全日制普通本科师范院校</w:t>
      </w:r>
      <w:r>
        <w:rPr>
          <w:rFonts w:hint="eastAsia" w:ascii="仿宋_GB2312" w:eastAsia="仿宋_GB2312"/>
          <w:sz w:val="32"/>
          <w:szCs w:val="32"/>
        </w:rPr>
        <w:t>，主要职能是进行教学、科研、培训，为社会输送高素质的人才，</w:t>
      </w:r>
      <w:r>
        <w:rPr>
          <w:rFonts w:ascii="仿宋_GB2312" w:eastAsia="仿宋_GB2312"/>
          <w:sz w:val="32"/>
          <w:szCs w:val="32"/>
        </w:rPr>
        <w:t>发挥学科、科研和人才资源优势，为地方</w:t>
      </w:r>
      <w:r>
        <w:rPr>
          <w:rFonts w:hint="eastAsia" w:ascii="仿宋_GB2312" w:eastAsia="仿宋_GB2312"/>
          <w:sz w:val="32"/>
          <w:szCs w:val="32"/>
        </w:rPr>
        <w:t>经济</w:t>
      </w:r>
      <w:r>
        <w:rPr>
          <w:rFonts w:ascii="仿宋_GB2312" w:eastAsia="仿宋_GB2312"/>
          <w:sz w:val="32"/>
          <w:szCs w:val="32"/>
        </w:rPr>
        <w:t>发展提供</w:t>
      </w:r>
      <w:r>
        <w:rPr>
          <w:rFonts w:hint="eastAsia" w:ascii="仿宋_GB2312" w:eastAsia="仿宋_GB2312"/>
          <w:sz w:val="32"/>
          <w:szCs w:val="32"/>
        </w:rPr>
        <w:t>师资力量</w:t>
      </w:r>
      <w:r>
        <w:rPr>
          <w:rFonts w:ascii="仿宋_GB2312" w:eastAsia="仿宋_GB2312"/>
          <w:sz w:val="32"/>
          <w:szCs w:val="32"/>
        </w:rPr>
        <w:t>、科技服务和智力支撑</w:t>
      </w:r>
      <w:r>
        <w:rPr>
          <w:rFonts w:hint="eastAsia" w:ascii="仿宋_GB2312" w:eastAsia="仿宋_GB2312"/>
          <w:sz w:val="32"/>
          <w:szCs w:val="32"/>
        </w:rPr>
        <w:t>。</w:t>
      </w:r>
    </w:p>
    <w:p>
      <w:pPr>
        <w:ind w:firstLine="646"/>
        <w:rPr>
          <w:rFonts w:ascii="仿宋_GB2312" w:eastAsia="仿宋_GB2312"/>
          <w:sz w:val="32"/>
          <w:szCs w:val="32"/>
        </w:rPr>
      </w:pPr>
      <w:r>
        <w:rPr>
          <w:rFonts w:hint="eastAsia" w:ascii="仿宋_GB2312" w:eastAsia="仿宋_GB2312"/>
          <w:sz w:val="32"/>
          <w:szCs w:val="32"/>
        </w:rPr>
        <w:t>南宁师范大学附属实验学校是教育厅直属的财政全额拨款的义务教育学校，主要职能是进行教学、培训，是广西“双师教学”模式项目英语和音乐科录课任务，承担校长跟岗培训、英语、音乐学科等国培、区培项目任务，在师范生培养、教师在岗培训提升方面发挥了示范引领作用。</w:t>
      </w:r>
    </w:p>
    <w:p>
      <w:pPr>
        <w:ind w:firstLine="646"/>
        <w:rPr>
          <w:rFonts w:ascii="黑体" w:hAnsi="黑体" w:eastAsia="黑体"/>
          <w:sz w:val="32"/>
          <w:szCs w:val="32"/>
        </w:rPr>
      </w:pPr>
      <w:r>
        <w:rPr>
          <w:rFonts w:hint="eastAsia" w:ascii="黑体" w:hAnsi="黑体" w:eastAsia="黑体"/>
          <w:sz w:val="32"/>
          <w:szCs w:val="32"/>
        </w:rPr>
        <w:t>二、部门决算单位构成</w:t>
      </w:r>
    </w:p>
    <w:p>
      <w:pPr>
        <w:ind w:firstLine="645"/>
        <w:rPr>
          <w:rFonts w:ascii="仿宋_GB2312" w:eastAsia="仿宋_GB2312"/>
          <w:sz w:val="32"/>
          <w:szCs w:val="32"/>
        </w:rPr>
      </w:pPr>
      <w:r>
        <w:rPr>
          <w:rFonts w:hint="eastAsia" w:ascii="仿宋_GB2312" w:eastAsia="仿宋_GB2312"/>
          <w:sz w:val="32"/>
          <w:szCs w:val="32"/>
        </w:rPr>
        <w:t>南宁师范大学本级</w:t>
      </w:r>
    </w:p>
    <w:p>
      <w:pPr>
        <w:ind w:firstLine="640" w:firstLineChars="200"/>
        <w:rPr>
          <w:rFonts w:ascii="仿宋_GB2312" w:eastAsia="仿宋_GB2312"/>
          <w:sz w:val="32"/>
          <w:szCs w:val="32"/>
        </w:rPr>
      </w:pPr>
      <w:r>
        <w:rPr>
          <w:rFonts w:hint="eastAsia" w:ascii="仿宋_GB2312" w:eastAsia="仿宋_GB2312"/>
          <w:sz w:val="32"/>
          <w:szCs w:val="32"/>
        </w:rPr>
        <w:t>南宁师范大学附属实验学校</w:t>
      </w:r>
    </w:p>
    <w:p>
      <w:pPr>
        <w:jc w:val="center"/>
      </w:pPr>
    </w:p>
    <w:p>
      <w:pPr>
        <w:jc w:val="center"/>
      </w:pPr>
    </w:p>
    <w:p>
      <w:pPr>
        <w:jc w:val="center"/>
      </w:pPr>
    </w:p>
    <w:p/>
    <w:p>
      <w:pPr>
        <w:jc w:val="center"/>
      </w:pPr>
    </w:p>
    <w:p>
      <w:pPr>
        <w:jc w:val="center"/>
      </w:pPr>
    </w:p>
    <w:p/>
    <w:p>
      <w:pPr>
        <w:jc w:val="center"/>
      </w:pPr>
    </w:p>
    <w:p/>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 xml:space="preserve"> 20</w:t>
      </w:r>
      <w:r>
        <w:rPr>
          <w:rFonts w:ascii="黑体" w:hAnsi="黑体" w:eastAsia="黑体"/>
          <w:sz w:val="32"/>
          <w:szCs w:val="32"/>
        </w:rPr>
        <w:t>20</w:t>
      </w:r>
      <w:r>
        <w:rPr>
          <w:rFonts w:hint="eastAsia" w:ascii="黑体" w:hAnsi="黑体" w:eastAsia="黑体"/>
          <w:sz w:val="32"/>
          <w:szCs w:val="32"/>
        </w:rPr>
        <w:t>年度部门决算报表</w:t>
      </w:r>
    </w:p>
    <w:p>
      <w:pPr>
        <w:ind w:firstLine="640" w:firstLineChars="200"/>
        <w:rPr>
          <w:rFonts w:ascii="黑体" w:hAnsi="黑体" w:eastAsia="黑体"/>
          <w:sz w:val="32"/>
          <w:szCs w:val="32"/>
        </w:rPr>
      </w:pPr>
      <w:r>
        <w:rPr>
          <w:rFonts w:hint="eastAsia" w:ascii="仿宋_GB2312" w:hAnsi="黑体" w:eastAsia="仿宋_GB2312"/>
          <w:sz w:val="32"/>
          <w:szCs w:val="32"/>
        </w:rPr>
        <w:t>《收入决算表》《支出决算表》《一般公共预算财政拨款支出决算表》和《政府性基金预算财政拨款收入支出决算表》和《</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r>
        <w:rPr>
          <w:rFonts w:hint="eastAsia" w:ascii="仿宋_GB2312" w:hAnsi="黑体" w:eastAsia="仿宋_GB2312"/>
          <w:sz w:val="32"/>
          <w:szCs w:val="32"/>
        </w:rPr>
        <w:t>》应当细化公开到支出功能分类项级科目，《一般公共预算财政拨款基本支出决算表》应当细化公开到经济分类款级科目。</w:t>
      </w:r>
    </w:p>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表一：收入支出决算总表</w:t>
      </w:r>
    </w:p>
    <w:p>
      <w:pPr>
        <w:ind w:firstLine="440" w:firstLineChars="200"/>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bl>
      <w:tblPr>
        <w:tblStyle w:val="5"/>
        <w:tblpPr w:leftFromText="180" w:rightFromText="180" w:vertAnchor="text" w:tblpXSpec="center" w:tblpY="1"/>
        <w:tblOverlap w:val="never"/>
        <w:tblW w:w="9918" w:type="dxa"/>
        <w:jc w:val="center"/>
        <w:tblLayout w:type="autofit"/>
        <w:tblCellMar>
          <w:top w:w="0" w:type="dxa"/>
          <w:left w:w="108" w:type="dxa"/>
          <w:bottom w:w="0" w:type="dxa"/>
          <w:right w:w="108" w:type="dxa"/>
        </w:tblCellMar>
      </w:tblPr>
      <w:tblGrid>
        <w:gridCol w:w="3823"/>
        <w:gridCol w:w="1417"/>
        <w:gridCol w:w="3260"/>
        <w:gridCol w:w="1418"/>
      </w:tblGrid>
      <w:tr>
        <w:tblPrEx>
          <w:tblCellMar>
            <w:top w:w="0" w:type="dxa"/>
            <w:left w:w="108" w:type="dxa"/>
            <w:bottom w:w="0" w:type="dxa"/>
            <w:right w:w="108" w:type="dxa"/>
          </w:tblCellMar>
        </w:tblPrEx>
        <w:trPr>
          <w:trHeight w:val="236" w:hRule="atLeast"/>
          <w:jc w:val="center"/>
        </w:trPr>
        <w:tc>
          <w:tcPr>
            <w:tcW w:w="5240"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收入</w:t>
            </w:r>
          </w:p>
        </w:tc>
        <w:tc>
          <w:tcPr>
            <w:tcW w:w="4678" w:type="dxa"/>
            <w:gridSpan w:val="2"/>
            <w:tcBorders>
              <w:top w:val="single" w:color="000000" w:sz="4" w:space="0"/>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支出</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项目</w:t>
            </w:r>
          </w:p>
        </w:tc>
        <w:tc>
          <w:tcPr>
            <w:tcW w:w="1417"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金额</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项目</w:t>
            </w:r>
          </w:p>
        </w:tc>
        <w:tc>
          <w:tcPr>
            <w:tcW w:w="1418"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金额</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417"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418"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一、一般公共预算财政拨款收入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ascii="宋体" w:hAnsi="宋体" w:cs="Arial"/>
                <w:color w:val="000000"/>
                <w:kern w:val="0"/>
                <w:sz w:val="22"/>
                <w:szCs w:val="22"/>
              </w:rPr>
              <w:t>40,568.13</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一、一般公共服务支出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68.06</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二、政府性基金预算财政拨款收入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40,000.00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二、外交支出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三、国有资本经营预算财政拨款收入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三、国防支出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四、上级补助收入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四、公共安全支出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五、事业收入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32,617.84</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五、教育支出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8</w:t>
            </w:r>
            <w:r>
              <w:rPr>
                <w:rFonts w:ascii="宋体" w:hAnsi="宋体" w:cs="Arial"/>
                <w:color w:val="000000"/>
                <w:kern w:val="0"/>
                <w:sz w:val="22"/>
                <w:szCs w:val="22"/>
              </w:rPr>
              <w:t>1,989.64</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六、经营收入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5,661.55</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六、科学技术支出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396.53</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七、附属单位上缴收入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七、文化旅游体育与传媒支出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75.00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八、其他收入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6,261.55</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八、社会保障和就业支出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491.42</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九、卫生健康支出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w:t>
            </w:r>
            <w:r>
              <w:rPr>
                <w:rFonts w:ascii="宋体" w:hAnsi="宋体" w:cs="Arial"/>
                <w:color w:val="000000"/>
                <w:kern w:val="0"/>
                <w:sz w:val="22"/>
                <w:szCs w:val="22"/>
              </w:rPr>
              <w:t>14.80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十九、住房保障支出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7</w:t>
            </w:r>
            <w:r>
              <w:rPr>
                <w:rFonts w:ascii="宋体" w:hAnsi="宋体" w:cs="Arial"/>
                <w:color w:val="000000"/>
                <w:kern w:val="0"/>
                <w:sz w:val="22"/>
                <w:szCs w:val="22"/>
              </w:rPr>
              <w:t>09.86</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二十三、其他支出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42,653.07</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本年收入合计</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25,109.08</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本年支出合计</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12</w:t>
            </w:r>
            <w:r>
              <w:rPr>
                <w:rFonts w:ascii="宋体" w:hAnsi="宋体" w:cs="Arial"/>
                <w:color w:val="000000"/>
                <w:kern w:val="0"/>
                <w:sz w:val="22"/>
                <w:szCs w:val="22"/>
              </w:rPr>
              <w:t>7,798.39</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使用非财政拨款结余</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结余分配</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807.20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年初结转和结余</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13,225.05</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年末结转和结余</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9,728.54</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总计</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13</w:t>
            </w:r>
            <w:r>
              <w:rPr>
                <w:rFonts w:ascii="宋体" w:hAnsi="宋体" w:cs="Arial"/>
                <w:color w:val="000000"/>
                <w:kern w:val="0"/>
                <w:sz w:val="22"/>
                <w:szCs w:val="22"/>
              </w:rPr>
              <w:t>8,334.13</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总计</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13</w:t>
            </w:r>
            <w:r>
              <w:rPr>
                <w:rFonts w:ascii="宋体" w:hAnsi="宋体" w:cs="Arial"/>
                <w:color w:val="000000"/>
                <w:kern w:val="0"/>
                <w:sz w:val="22"/>
                <w:szCs w:val="22"/>
              </w:rPr>
              <w:t>8,334.13</w:t>
            </w:r>
          </w:p>
        </w:tc>
      </w:tr>
    </w:tbl>
    <w:p>
      <w:pPr>
        <w:widowControl/>
        <w:ind w:left="-1" w:leftChars="-405" w:right="-901" w:rightChars="-429" w:hanging="849" w:hangingChars="386"/>
        <w:jc w:val="right"/>
        <w:rPr>
          <w:rFonts w:ascii="宋体" w:hAnsi="宋体" w:cs="Arial"/>
          <w:color w:val="000000"/>
          <w:kern w:val="0"/>
          <w:sz w:val="22"/>
          <w:szCs w:val="22"/>
        </w:rPr>
      </w:pPr>
      <w:r>
        <w:rPr>
          <w:rFonts w:ascii="宋体" w:hAnsi="宋体" w:cs="Arial"/>
          <w:color w:val="000000"/>
          <w:kern w:val="0"/>
          <w:sz w:val="22"/>
          <w:szCs w:val="22"/>
        </w:rPr>
        <w:t xml:space="preserve"> </w:t>
      </w:r>
      <w:r>
        <w:rPr>
          <w:rFonts w:hint="eastAsia" w:ascii="宋体" w:hAnsi="宋体" w:cs="Arial"/>
          <w:color w:val="000000"/>
          <w:kern w:val="0"/>
          <w:sz w:val="22"/>
          <w:szCs w:val="22"/>
        </w:rPr>
        <w:t>注：本表反映部门本年度的总收支和年末结转结余情况。本套报表金额单位转换时可能存在尾数误差。</w:t>
      </w:r>
    </w:p>
    <w:p>
      <w:pPr>
        <w:ind w:firstLine="640" w:firstLineChars="200"/>
        <w:jc w:val="right"/>
        <w:rPr>
          <w:rFonts w:ascii="黑体" w:hAnsi="黑体" w:eastAsia="黑体"/>
          <w:sz w:val="32"/>
          <w:szCs w:val="32"/>
        </w:rPr>
      </w:pPr>
    </w:p>
    <w:p>
      <w:pPr>
        <w:jc w:val="center"/>
        <w:rPr>
          <w:rFonts w:ascii="方正小标宋简体" w:hAnsi="宋体" w:eastAsia="方正小标宋简体" w:cs="宋体"/>
          <w:kern w:val="0"/>
          <w:sz w:val="36"/>
          <w:szCs w:val="36"/>
        </w:rPr>
        <w:sectPr>
          <w:footerReference r:id="rId3" w:type="default"/>
          <w:footerReference r:id="rId4" w:type="even"/>
          <w:pgSz w:w="11906" w:h="16838"/>
          <w:pgMar w:top="1440" w:right="1797" w:bottom="1440" w:left="1797" w:header="851" w:footer="992" w:gutter="0"/>
          <w:cols w:space="425" w:num="1"/>
          <w:docGrid w:type="lines" w:linePitch="312" w:charSpace="0"/>
        </w:sectPr>
      </w:pPr>
    </w:p>
    <w:p>
      <w:pPr>
        <w:jc w:val="center"/>
      </w:pPr>
      <w:r>
        <w:rPr>
          <w:rFonts w:hint="eastAsia" w:ascii="方正小标宋简体" w:hAnsi="宋体" w:eastAsia="方正小标宋简体" w:cs="宋体"/>
          <w:kern w:val="0"/>
          <w:sz w:val="36"/>
          <w:szCs w:val="36"/>
        </w:rPr>
        <w:t>表二：收入决算表</w:t>
      </w:r>
    </w:p>
    <w:p>
      <w:pPr>
        <w:spacing w:line="560" w:lineRule="exact"/>
        <w:jc w:val="right"/>
        <w:rPr>
          <w:rFonts w:ascii="黑体" w:hAnsi="黑体" w:eastAsia="黑体"/>
          <w:sz w:val="32"/>
          <w:szCs w:val="32"/>
        </w:rPr>
      </w:pPr>
      <w:r>
        <w:rPr>
          <w:rFonts w:hint="eastAsia"/>
          <w:sz w:val="22"/>
          <w:szCs w:val="22"/>
        </w:rPr>
        <w:t>单位：万元</w:t>
      </w:r>
    </w:p>
    <w:tbl>
      <w:tblPr>
        <w:tblStyle w:val="5"/>
        <w:tblW w:w="13825" w:type="dxa"/>
        <w:tblInd w:w="137" w:type="dxa"/>
        <w:tblLayout w:type="fixed"/>
        <w:tblCellMar>
          <w:top w:w="0" w:type="dxa"/>
          <w:left w:w="108" w:type="dxa"/>
          <w:bottom w:w="0" w:type="dxa"/>
          <w:right w:w="108" w:type="dxa"/>
        </w:tblCellMar>
      </w:tblPr>
      <w:tblGrid>
        <w:gridCol w:w="1134"/>
        <w:gridCol w:w="2835"/>
        <w:gridCol w:w="1547"/>
        <w:gridCol w:w="1592"/>
        <w:gridCol w:w="1092"/>
        <w:gridCol w:w="1242"/>
        <w:gridCol w:w="1191"/>
        <w:gridCol w:w="1416"/>
        <w:gridCol w:w="1540"/>
        <w:gridCol w:w="236"/>
      </w:tblGrid>
      <w:tr>
        <w:tblPrEx>
          <w:tblCellMar>
            <w:top w:w="0" w:type="dxa"/>
            <w:left w:w="108" w:type="dxa"/>
            <w:bottom w:w="0" w:type="dxa"/>
            <w:right w:w="108" w:type="dxa"/>
          </w:tblCellMar>
        </w:tblPrEx>
        <w:trPr>
          <w:gridAfter w:val="1"/>
          <w:wAfter w:w="236" w:type="dxa"/>
          <w:trHeight w:val="312"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科目编码</w:t>
            </w:r>
          </w:p>
        </w:tc>
        <w:tc>
          <w:tcPr>
            <w:tcW w:w="2835" w:type="dxa"/>
            <w:vMerge w:val="restart"/>
            <w:tcBorders>
              <w:top w:val="single" w:color="000000" w:sz="4" w:space="0"/>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1547"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本年收入合计</w:t>
            </w:r>
          </w:p>
        </w:tc>
        <w:tc>
          <w:tcPr>
            <w:tcW w:w="1592"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财政拨款收入</w:t>
            </w:r>
          </w:p>
        </w:tc>
        <w:tc>
          <w:tcPr>
            <w:tcW w:w="1092"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上级补助收入</w:t>
            </w:r>
          </w:p>
        </w:tc>
        <w:tc>
          <w:tcPr>
            <w:tcW w:w="1242"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事业收入</w:t>
            </w:r>
          </w:p>
        </w:tc>
        <w:tc>
          <w:tcPr>
            <w:tcW w:w="1191"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经营收入</w:t>
            </w:r>
          </w:p>
        </w:tc>
        <w:tc>
          <w:tcPr>
            <w:tcW w:w="1416"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附属单位上缴收入</w:t>
            </w:r>
          </w:p>
        </w:tc>
        <w:tc>
          <w:tcPr>
            <w:tcW w:w="1540"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其他收入</w:t>
            </w:r>
          </w:p>
        </w:tc>
      </w:tr>
      <w:tr>
        <w:tblPrEx>
          <w:tblCellMar>
            <w:top w:w="0" w:type="dxa"/>
            <w:left w:w="108" w:type="dxa"/>
            <w:bottom w:w="0" w:type="dxa"/>
            <w:right w:w="108" w:type="dxa"/>
          </w:tblCellMar>
        </w:tblPrEx>
        <w:trPr>
          <w:trHeight w:val="309" w:hRule="atLeast"/>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835"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47"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9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09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4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9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41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4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36" w:type="dxa"/>
            <w:tcBorders>
              <w:top w:val="nil"/>
              <w:left w:val="nil"/>
              <w:bottom w:val="nil"/>
              <w:right w:val="nil"/>
            </w:tcBorders>
            <w:shd w:val="clear" w:color="auto" w:fill="auto"/>
            <w:noWrap/>
            <w:vAlign w:val="bottom"/>
          </w:tcPr>
          <w:p>
            <w:pPr>
              <w:widowControl/>
              <w:jc w:val="center"/>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309" w:hRule="atLeast"/>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835"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47"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9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09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4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9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41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4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36"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835"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47"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9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09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42"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9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41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40"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36" w:type="dxa"/>
            <w:tcBorders>
              <w:top w:val="nil"/>
              <w:left w:val="nil"/>
              <w:bottom w:val="nil"/>
              <w:right w:val="nil"/>
            </w:tcBorders>
            <w:shd w:val="clear" w:color="auto" w:fill="auto"/>
            <w:noWrap/>
            <w:vAlign w:val="bottom"/>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3969"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547"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w:t>
            </w:r>
          </w:p>
        </w:tc>
        <w:tc>
          <w:tcPr>
            <w:tcW w:w="1592"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2</w:t>
            </w:r>
          </w:p>
        </w:tc>
        <w:tc>
          <w:tcPr>
            <w:tcW w:w="1092"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w:t>
            </w:r>
          </w:p>
        </w:tc>
        <w:tc>
          <w:tcPr>
            <w:tcW w:w="1242"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4</w:t>
            </w:r>
          </w:p>
        </w:tc>
        <w:tc>
          <w:tcPr>
            <w:tcW w:w="1191"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5</w:t>
            </w:r>
          </w:p>
        </w:tc>
        <w:tc>
          <w:tcPr>
            <w:tcW w:w="1416"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6</w:t>
            </w:r>
          </w:p>
        </w:tc>
        <w:tc>
          <w:tcPr>
            <w:tcW w:w="1540"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7</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3969"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125,109.08</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80,568.13</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32,617.84</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5,661.55</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6,261.55</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一般公共服务支出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20110</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人力资源事务</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2011099</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其他人力资源事务支出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教育支出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81,994.53</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37,886.60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32,184.82</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5,661.55</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6,261.55</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普通教育</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81,994.53</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37,886.60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32,184.82</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5,661.55</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6,261.55</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2050202</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小学教育</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999.37</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999.37</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2050205</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高等教育</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80,995.16</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36,887.23</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32,184.82</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5,661.55</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6,261.55</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科学技术支出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20699</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其他科学技术支出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2069999</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其他科学技术支出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文化旅游体育与传媒支出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20799</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其他文化旅游体育与传媒支出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2079902</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宣传文化发展专项支出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社会保障和就业支出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1,491.42</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433.02</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行政事业单位养老支出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1,414.24</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981.22</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433.02</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2080505</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机关事业单位基本养老保险缴费支出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2080506</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机关事业单位职业年金缴费支出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466.11</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33.09</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433.02</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20808</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抚恤</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2080801</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死亡抚恤</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卫生健康支出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21011</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行政事业单位医疗</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2101102</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事业单位医疗</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住房保障支出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22102</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住房改革支出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2210201</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住房公积金</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22904</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其他政府性基金及对应专项债务收入安排的支出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134"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2290402</w:t>
            </w:r>
          </w:p>
        </w:tc>
        <w:tc>
          <w:tcPr>
            <w:tcW w:w="2835"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其他地方自行试点项目收益专项债券收入安排的支出</w:t>
            </w:r>
          </w:p>
        </w:tc>
        <w:tc>
          <w:tcPr>
            <w:tcW w:w="154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5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09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42"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9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41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54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bl>
    <w:p>
      <w:pPr>
        <w:rPr>
          <w:rFonts w:ascii="黑体" w:hAnsi="黑体" w:eastAsia="黑体"/>
          <w:szCs w:val="21"/>
        </w:rPr>
      </w:pPr>
      <w:r>
        <w:rPr>
          <w:rFonts w:hint="eastAsia" w:ascii="宋体" w:hAnsi="宋体" w:cs="Arial"/>
          <w:color w:val="000000"/>
          <w:kern w:val="0"/>
          <w:sz w:val="22"/>
          <w:szCs w:val="22"/>
        </w:rPr>
        <w:t>注：本表反映部门本年度取得的各项收入情况。</w:t>
      </w:r>
    </w:p>
    <w:p>
      <w:pPr>
        <w:ind w:firstLine="640" w:firstLineChars="200"/>
        <w:rPr>
          <w:rFonts w:ascii="黑体" w:hAnsi="黑体" w:eastAsia="黑体"/>
          <w:sz w:val="32"/>
          <w:szCs w:val="32"/>
        </w:rPr>
      </w:pPr>
    </w:p>
    <w:p>
      <w:pPr>
        <w:ind w:firstLine="480" w:firstLineChars="200"/>
        <w:rPr>
          <w:rFonts w:ascii="黑体" w:hAnsi="黑体" w:eastAsia="黑体"/>
          <w:sz w:val="24"/>
        </w:rPr>
      </w:pPr>
    </w:p>
    <w:p>
      <w:pPr>
        <w:ind w:firstLine="480" w:firstLineChars="200"/>
        <w:rPr>
          <w:rFonts w:ascii="黑体" w:hAnsi="黑体" w:eastAsia="黑体"/>
          <w:sz w:val="24"/>
        </w:rPr>
      </w:pPr>
    </w:p>
    <w:p>
      <w:pPr>
        <w:ind w:firstLine="480" w:firstLineChars="200"/>
        <w:rPr>
          <w:rFonts w:ascii="黑体" w:hAnsi="黑体" w:eastAsia="黑体"/>
          <w:sz w:val="24"/>
        </w:rPr>
      </w:pPr>
    </w:p>
    <w:p>
      <w:pPr>
        <w:ind w:firstLine="480" w:firstLineChars="200"/>
        <w:rPr>
          <w:rFonts w:ascii="黑体" w:hAnsi="黑体" w:eastAsia="黑体"/>
          <w:sz w:val="24"/>
        </w:rPr>
      </w:pPr>
    </w:p>
    <w:p>
      <w:pPr>
        <w:ind w:firstLine="480" w:firstLineChars="200"/>
        <w:rPr>
          <w:rFonts w:ascii="黑体" w:hAnsi="黑体" w:eastAsia="黑体"/>
          <w:sz w:val="24"/>
        </w:rPr>
      </w:pPr>
    </w:p>
    <w:p>
      <w:pPr>
        <w:rPr>
          <w:rFonts w:hint="eastAsia" w:ascii="黑体" w:hAnsi="黑体" w:eastAsia="黑体"/>
          <w:sz w:val="24"/>
        </w:rPr>
      </w:pPr>
    </w:p>
    <w:p>
      <w:pPr>
        <w:jc w:val="center"/>
      </w:pPr>
      <w:r>
        <w:rPr>
          <w:rFonts w:hint="eastAsia" w:ascii="方正小标宋简体" w:hAnsi="宋体" w:eastAsia="方正小标宋简体" w:cs="宋体"/>
          <w:kern w:val="0"/>
          <w:sz w:val="36"/>
          <w:szCs w:val="36"/>
        </w:rPr>
        <w:t>表三：支出决算表</w:t>
      </w:r>
    </w:p>
    <w:p>
      <w:pPr>
        <w:jc w:val="right"/>
      </w:pPr>
      <w:r>
        <w:rPr>
          <w:rFonts w:hint="eastAsia"/>
          <w:sz w:val="22"/>
          <w:szCs w:val="22"/>
        </w:rPr>
        <w:t>单位：万元</w:t>
      </w:r>
    </w:p>
    <w:tbl>
      <w:tblPr>
        <w:tblStyle w:val="5"/>
        <w:tblW w:w="0" w:type="auto"/>
        <w:tblInd w:w="137" w:type="dxa"/>
        <w:tblLayout w:type="autofit"/>
        <w:tblCellMar>
          <w:top w:w="0" w:type="dxa"/>
          <w:left w:w="108" w:type="dxa"/>
          <w:bottom w:w="0" w:type="dxa"/>
          <w:right w:w="108" w:type="dxa"/>
        </w:tblCellMar>
      </w:tblPr>
      <w:tblGrid>
        <w:gridCol w:w="1270"/>
        <w:gridCol w:w="2983"/>
        <w:gridCol w:w="1701"/>
        <w:gridCol w:w="1559"/>
        <w:gridCol w:w="1701"/>
        <w:gridCol w:w="1701"/>
        <w:gridCol w:w="1276"/>
        <w:gridCol w:w="1398"/>
        <w:gridCol w:w="222"/>
      </w:tblGrid>
      <w:tr>
        <w:tblPrEx>
          <w:tblCellMar>
            <w:top w:w="0" w:type="dxa"/>
            <w:left w:w="108" w:type="dxa"/>
            <w:bottom w:w="0" w:type="dxa"/>
            <w:right w:w="108" w:type="dxa"/>
          </w:tblCellMar>
        </w:tblPrEx>
        <w:trPr>
          <w:gridAfter w:val="1"/>
          <w:wAfter w:w="222" w:type="dxa"/>
          <w:trHeight w:val="312" w:hRule="atLeast"/>
        </w:trPr>
        <w:tc>
          <w:tcPr>
            <w:tcW w:w="1270" w:type="dxa"/>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科目编码</w:t>
            </w:r>
          </w:p>
        </w:tc>
        <w:tc>
          <w:tcPr>
            <w:tcW w:w="2983" w:type="dxa"/>
            <w:vMerge w:val="restart"/>
            <w:tcBorders>
              <w:top w:val="single" w:color="000000" w:sz="4" w:space="0"/>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1701"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本年支出合计</w:t>
            </w:r>
          </w:p>
        </w:tc>
        <w:tc>
          <w:tcPr>
            <w:tcW w:w="1559"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基本支出</w:t>
            </w:r>
          </w:p>
        </w:tc>
        <w:tc>
          <w:tcPr>
            <w:tcW w:w="1701"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w:t>
            </w:r>
          </w:p>
        </w:tc>
        <w:tc>
          <w:tcPr>
            <w:tcW w:w="1701"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上缴上级支出</w:t>
            </w:r>
          </w:p>
        </w:tc>
        <w:tc>
          <w:tcPr>
            <w:tcW w:w="1276"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经营支出</w:t>
            </w:r>
          </w:p>
        </w:tc>
        <w:tc>
          <w:tcPr>
            <w:tcW w:w="1398"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对附属单位补助支出</w:t>
            </w:r>
          </w:p>
        </w:tc>
      </w:tr>
      <w:tr>
        <w:tblPrEx>
          <w:tblCellMar>
            <w:top w:w="0" w:type="dxa"/>
            <w:left w:w="108" w:type="dxa"/>
            <w:bottom w:w="0" w:type="dxa"/>
            <w:right w:w="108" w:type="dxa"/>
          </w:tblCellMar>
        </w:tblPrEx>
        <w:trPr>
          <w:trHeight w:val="309" w:hRule="atLeast"/>
        </w:trPr>
        <w:tc>
          <w:tcPr>
            <w:tcW w:w="12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983"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398"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tcBorders>
              <w:top w:val="nil"/>
              <w:left w:val="nil"/>
              <w:bottom w:val="nil"/>
              <w:right w:val="nil"/>
            </w:tcBorders>
            <w:shd w:val="clear" w:color="auto" w:fill="auto"/>
            <w:noWrap/>
            <w:vAlign w:val="bottom"/>
          </w:tcPr>
          <w:p>
            <w:pPr>
              <w:widowControl/>
              <w:jc w:val="center"/>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309" w:hRule="atLeast"/>
        </w:trPr>
        <w:tc>
          <w:tcPr>
            <w:tcW w:w="12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983"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398"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tcBorders>
              <w:top w:val="nil"/>
              <w:left w:val="nil"/>
              <w:bottom w:val="nil"/>
              <w:right w:val="nil"/>
            </w:tcBorders>
            <w:shd w:val="clear" w:color="auto" w:fill="auto"/>
            <w:noWrap/>
            <w:vAlign w:val="bottom"/>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983"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398"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tcBorders>
              <w:top w:val="nil"/>
              <w:left w:val="nil"/>
              <w:bottom w:val="nil"/>
              <w:right w:val="nil"/>
            </w:tcBorders>
            <w:shd w:val="clear" w:color="auto" w:fill="auto"/>
            <w:noWrap/>
            <w:vAlign w:val="bottom"/>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4253"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701"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w:t>
            </w:r>
          </w:p>
        </w:tc>
        <w:tc>
          <w:tcPr>
            <w:tcW w:w="1559"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2</w:t>
            </w:r>
          </w:p>
        </w:tc>
        <w:tc>
          <w:tcPr>
            <w:tcW w:w="1701"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w:t>
            </w:r>
          </w:p>
        </w:tc>
        <w:tc>
          <w:tcPr>
            <w:tcW w:w="1701"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4</w:t>
            </w:r>
          </w:p>
        </w:tc>
        <w:tc>
          <w:tcPr>
            <w:tcW w:w="1276"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5</w:t>
            </w:r>
          </w:p>
        </w:tc>
        <w:tc>
          <w:tcPr>
            <w:tcW w:w="1398" w:type="dxa"/>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6</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4253"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127,798.39</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13,637.33</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109,306.71</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4,854.36</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一般公共服务支出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20110</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人力资源事务</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2011099</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其他人力资源事务支出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教育支出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81,989.64</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11,021.24</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66,114.04</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4,854.36</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教育管理事务</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2050102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一般行政管理事务</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普通教育</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81,974.64</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11,021.24</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66,099.04</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4,854.36</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小学教育</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999.37</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577.97</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421.40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2050205</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高等教育</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80,883.48</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10,443.27</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65,585.85</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4,854.36</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2050299</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其他普通教育支出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91.79</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91.79</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科学技术支出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20699</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其他科学技术支出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2069999</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其他科学技术支出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文化旅游体育与传媒支出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20799</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其他文化旅游体育与传媒支出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2079902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宣传文化发展专项支出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社会保障和就业支出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1,491.42</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1,491.42</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行政事业单位养老支出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1,414.24</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1,414.24</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2080505</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机关事业单位基本养老保险缴费支出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2080506</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机关事业单位职业年金缴费支出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466.11</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466.11</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20808</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抚恤</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2080801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死亡抚恤</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卫生健康支出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21011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行政事业单位医疗</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2101102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事业单位医疗</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住房保障支出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住房改革支出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2210201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住房公积金</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22904</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其他政府性基金及对应专项债务收入安排的支出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2290401</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其他政府性基金安排的支出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2,653.07</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2,653.07</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27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2290402</w:t>
            </w:r>
          </w:p>
        </w:tc>
        <w:tc>
          <w:tcPr>
            <w:tcW w:w="2983"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其他地方自行试点项目收益专项债券收入安排的支出</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559"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70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398"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0" w:type="auto"/>
            <w:vAlign w:val="center"/>
          </w:tcPr>
          <w:p>
            <w:pPr>
              <w:widowControl/>
              <w:jc w:val="left"/>
              <w:rPr>
                <w:rFonts w:eastAsia="Times New Roman"/>
                <w:kern w:val="0"/>
                <w:sz w:val="20"/>
                <w:szCs w:val="20"/>
              </w:rPr>
            </w:pPr>
          </w:p>
        </w:tc>
      </w:tr>
    </w:tbl>
    <w:p>
      <w:pPr>
        <w:ind w:firstLine="440" w:firstLineChars="200"/>
        <w:rPr>
          <w:rFonts w:ascii="黑体" w:hAnsi="黑体" w:eastAsia="黑体"/>
          <w:sz w:val="24"/>
        </w:rPr>
      </w:pPr>
      <w:r>
        <w:rPr>
          <w:rFonts w:hint="eastAsia" w:ascii="宋体" w:hAnsi="宋体" w:cs="Arial"/>
          <w:color w:val="000000"/>
          <w:kern w:val="0"/>
          <w:sz w:val="22"/>
          <w:szCs w:val="22"/>
        </w:rPr>
        <w:t>注：本表反映部门本年度各项支出情况。</w:t>
      </w:r>
    </w:p>
    <w:p>
      <w:pPr>
        <w:ind w:firstLine="480" w:firstLineChars="200"/>
        <w:rPr>
          <w:rFonts w:ascii="黑体" w:hAnsi="黑体" w:eastAsia="黑体"/>
          <w:sz w:val="24"/>
        </w:rPr>
      </w:pPr>
    </w:p>
    <w:p>
      <w:pPr>
        <w:ind w:firstLine="480" w:firstLineChars="200"/>
        <w:rPr>
          <w:rFonts w:ascii="黑体" w:hAnsi="黑体" w:eastAsia="黑体"/>
          <w:sz w:val="24"/>
        </w:rPr>
      </w:pPr>
    </w:p>
    <w:p>
      <w:pPr>
        <w:ind w:firstLine="480" w:firstLineChars="200"/>
        <w:rPr>
          <w:rFonts w:ascii="黑体" w:hAnsi="黑体" w:eastAsia="黑体"/>
          <w:sz w:val="24"/>
        </w:rPr>
      </w:pPr>
    </w:p>
    <w:p>
      <w:pPr>
        <w:rPr>
          <w:rFonts w:hint="eastAsia" w:ascii="黑体" w:hAnsi="黑体" w:eastAsia="黑体"/>
          <w:sz w:val="24"/>
        </w:rPr>
      </w:pPr>
    </w:p>
    <w:p>
      <w:pPr>
        <w:jc w:val="center"/>
      </w:pPr>
      <w:r>
        <w:rPr>
          <w:rFonts w:hint="eastAsia" w:ascii="方正小标宋简体" w:hAnsi="宋体" w:eastAsia="方正小标宋简体" w:cs="宋体"/>
          <w:kern w:val="0"/>
          <w:sz w:val="36"/>
          <w:szCs w:val="36"/>
        </w:rPr>
        <w:t>表四：财政拨款收入支出决算总表</w:t>
      </w:r>
    </w:p>
    <w:p>
      <w:pPr>
        <w:jc w:val="right"/>
        <w:rPr>
          <w:sz w:val="22"/>
          <w:szCs w:val="22"/>
        </w:rPr>
      </w:pPr>
      <w:r>
        <w:rPr>
          <w:rFonts w:hint="eastAsia"/>
          <w:sz w:val="22"/>
          <w:szCs w:val="22"/>
        </w:rPr>
        <w:t>单位：万元</w:t>
      </w:r>
    </w:p>
    <w:tbl>
      <w:tblPr>
        <w:tblStyle w:val="5"/>
        <w:tblW w:w="5109" w:type="pct"/>
        <w:tblInd w:w="0" w:type="dxa"/>
        <w:tblLayout w:type="autofit"/>
        <w:tblCellMar>
          <w:top w:w="0" w:type="dxa"/>
          <w:left w:w="108" w:type="dxa"/>
          <w:bottom w:w="0" w:type="dxa"/>
          <w:right w:w="108" w:type="dxa"/>
        </w:tblCellMar>
      </w:tblPr>
      <w:tblGrid>
        <w:gridCol w:w="3125"/>
        <w:gridCol w:w="1440"/>
        <w:gridCol w:w="3574"/>
        <w:gridCol w:w="1387"/>
        <w:gridCol w:w="1440"/>
        <w:gridCol w:w="1564"/>
        <w:gridCol w:w="1729"/>
        <w:gridCol w:w="224"/>
      </w:tblGrid>
      <w:tr>
        <w:tblPrEx>
          <w:tblCellMar>
            <w:top w:w="0" w:type="dxa"/>
            <w:left w:w="108" w:type="dxa"/>
            <w:bottom w:w="0" w:type="dxa"/>
            <w:right w:w="108" w:type="dxa"/>
          </w:tblCellMar>
        </w:tblPrEx>
        <w:trPr>
          <w:gridAfter w:val="1"/>
          <w:wAfter w:w="78" w:type="pct"/>
          <w:trHeight w:val="309" w:hRule="atLeast"/>
        </w:trPr>
        <w:tc>
          <w:tcPr>
            <w:tcW w:w="157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收     入</w:t>
            </w:r>
          </w:p>
        </w:tc>
        <w:tc>
          <w:tcPr>
            <w:tcW w:w="3346" w:type="pct"/>
            <w:gridSpan w:val="5"/>
            <w:tcBorders>
              <w:top w:val="single" w:color="000000" w:sz="4" w:space="0"/>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支     出</w:t>
            </w:r>
          </w:p>
        </w:tc>
      </w:tr>
      <w:tr>
        <w:tblPrEx>
          <w:tblCellMar>
            <w:top w:w="0" w:type="dxa"/>
            <w:left w:w="108" w:type="dxa"/>
            <w:bottom w:w="0" w:type="dxa"/>
            <w:right w:w="108" w:type="dxa"/>
          </w:tblCellMar>
        </w:tblPrEx>
        <w:trPr>
          <w:gridAfter w:val="1"/>
          <w:wAfter w:w="78" w:type="pct"/>
          <w:trHeight w:val="312" w:hRule="atLeast"/>
        </w:trPr>
        <w:tc>
          <w:tcPr>
            <w:tcW w:w="1079" w:type="pct"/>
            <w:vMerge w:val="restart"/>
            <w:tcBorders>
              <w:top w:val="nil"/>
              <w:left w:val="single" w:color="000000" w:sz="4" w:space="0"/>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w:t>
            </w:r>
          </w:p>
        </w:tc>
        <w:tc>
          <w:tcPr>
            <w:tcW w:w="497"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金额</w:t>
            </w:r>
          </w:p>
        </w:tc>
        <w:tc>
          <w:tcPr>
            <w:tcW w:w="1234"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w:t>
            </w:r>
          </w:p>
        </w:tc>
        <w:tc>
          <w:tcPr>
            <w:tcW w:w="479" w:type="pct"/>
            <w:vMerge w:val="restar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497"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一般公共预算财政拨款</w:t>
            </w:r>
          </w:p>
        </w:tc>
        <w:tc>
          <w:tcPr>
            <w:tcW w:w="540"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政府性基金预算财政拨款</w:t>
            </w:r>
          </w:p>
        </w:tc>
        <w:tc>
          <w:tcPr>
            <w:tcW w:w="597"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国有资本经营预算财政拨款</w:t>
            </w:r>
          </w:p>
        </w:tc>
      </w:tr>
      <w:tr>
        <w:tblPrEx>
          <w:tblCellMar>
            <w:top w:w="0" w:type="dxa"/>
            <w:left w:w="108" w:type="dxa"/>
            <w:bottom w:w="0" w:type="dxa"/>
            <w:right w:w="108" w:type="dxa"/>
          </w:tblCellMar>
        </w:tblPrEx>
        <w:trPr>
          <w:trHeight w:val="614" w:hRule="atLeast"/>
        </w:trPr>
        <w:tc>
          <w:tcPr>
            <w:tcW w:w="1079"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97"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3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79"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97"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40"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97"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78" w:type="pct"/>
            <w:tcBorders>
              <w:top w:val="nil"/>
              <w:left w:val="nil"/>
              <w:bottom w:val="nil"/>
              <w:right w:val="nil"/>
            </w:tcBorders>
            <w:shd w:val="clear" w:color="auto" w:fill="auto"/>
            <w:noWrap/>
            <w:vAlign w:val="bottom"/>
          </w:tcPr>
          <w:p>
            <w:pPr>
              <w:widowControl/>
              <w:jc w:val="center"/>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497"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栏次</w:t>
            </w:r>
          </w:p>
        </w:tc>
        <w:tc>
          <w:tcPr>
            <w:tcW w:w="479"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2</w:t>
            </w:r>
          </w:p>
        </w:tc>
        <w:tc>
          <w:tcPr>
            <w:tcW w:w="497"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w:t>
            </w:r>
          </w:p>
        </w:tc>
        <w:tc>
          <w:tcPr>
            <w:tcW w:w="540"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4</w:t>
            </w:r>
          </w:p>
        </w:tc>
        <w:tc>
          <w:tcPr>
            <w:tcW w:w="597"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5</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一、一般公共预算财政拨款</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40,568.13</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一、一般公共服务支出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二、政府性基金预算财政拨款</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40,000.00</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二、外交支出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三、国有资本经营财政拨款</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三、国防支出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四、公共安全支出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五、教育支出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39,039.85</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39,039.85</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六、科学技术支出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七、文化旅游体育与传媒支出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八、社会保障和就业支出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九、卫生健康支出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十、节能环保支出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十一、城乡社区支出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十二、农林水支出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十三、交通运输支出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十四、资源勘探工业信息等支出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十五、商业服务业等支出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十六、金融支出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十七、援助其他地区支出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十八、自然资源海洋气象等支出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十九、住房保障支出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二十、粮油物资储备支出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二十一、国有资本经营预算支出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二十二、灾害防治及应急管理支出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二十三、其他支出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二十四、债务还本支出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二十五、债务付息支出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二十六、抗疫特别国债安排的支出</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hint="eastAsia" w:ascii="宋体" w:hAnsi="宋体" w:cs="Arial"/>
                <w:b/>
                <w:bCs/>
                <w:color w:val="000000"/>
                <w:kern w:val="0"/>
                <w:sz w:val="22"/>
                <w:szCs w:val="22"/>
              </w:rPr>
            </w:pPr>
            <w:r>
              <w:rPr>
                <w:rFonts w:hint="eastAsia" w:ascii="宋体" w:hAnsi="宋体" w:cs="Arial"/>
                <w:b/>
                <w:bCs/>
                <w:color w:val="000000"/>
                <w:kern w:val="0"/>
                <w:sz w:val="22"/>
                <w:szCs w:val="22"/>
              </w:rPr>
              <w:t>本年收入合计</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80,568.13</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b/>
                <w:bCs/>
                <w:color w:val="000000"/>
                <w:kern w:val="0"/>
                <w:sz w:val="22"/>
                <w:szCs w:val="22"/>
              </w:rPr>
            </w:pPr>
            <w:r>
              <w:rPr>
                <w:rFonts w:hint="eastAsia" w:ascii="宋体" w:hAnsi="宋体" w:cs="Arial"/>
                <w:b/>
                <w:bCs/>
                <w:color w:val="000000"/>
                <w:kern w:val="0"/>
                <w:sz w:val="22"/>
                <w:szCs w:val="22"/>
              </w:rPr>
              <w:t>本年支出合计</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84,415.57</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41,762.50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年初财政拨款结转和结余</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3,847.44</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年末财政拨款结转和结余</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一般公共预算财政拨款</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1,194.37</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政府性基金预算财政拨款</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2,653.07</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0"/>
                <w:szCs w:val="20"/>
              </w:rPr>
            </w:pPr>
            <w:r>
              <w:rPr>
                <w:rFonts w:hint="eastAsia" w:ascii="宋体" w:hAnsi="宋体" w:cs="Arial"/>
                <w:color w:val="000000"/>
                <w:kern w:val="0"/>
                <w:sz w:val="20"/>
                <w:szCs w:val="20"/>
              </w:rPr>
              <w:t>　</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国有资本经营预算财政拨款</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78"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1079"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hint="eastAsia" w:ascii="宋体" w:hAnsi="宋体" w:cs="Arial"/>
                <w:b/>
                <w:bCs/>
                <w:color w:val="000000"/>
                <w:kern w:val="0"/>
                <w:sz w:val="22"/>
                <w:szCs w:val="22"/>
              </w:rPr>
            </w:pPr>
            <w:r>
              <w:rPr>
                <w:rFonts w:hint="eastAsia" w:ascii="宋体" w:hAnsi="宋体" w:cs="Arial"/>
                <w:b/>
                <w:bCs/>
                <w:color w:val="000000"/>
                <w:kern w:val="0"/>
                <w:sz w:val="22"/>
                <w:szCs w:val="22"/>
              </w:rPr>
              <w:t>总计</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84,415.57</w:t>
            </w:r>
          </w:p>
        </w:tc>
        <w:tc>
          <w:tcPr>
            <w:tcW w:w="1234"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b/>
                <w:bCs/>
                <w:color w:val="000000"/>
                <w:kern w:val="0"/>
                <w:sz w:val="22"/>
                <w:szCs w:val="22"/>
              </w:rPr>
            </w:pPr>
            <w:r>
              <w:rPr>
                <w:rFonts w:hint="eastAsia" w:ascii="宋体" w:hAnsi="宋体" w:cs="Arial"/>
                <w:b/>
                <w:bCs/>
                <w:color w:val="000000"/>
                <w:kern w:val="0"/>
                <w:sz w:val="22"/>
                <w:szCs w:val="22"/>
              </w:rPr>
              <w:t>总计</w:t>
            </w:r>
          </w:p>
        </w:tc>
        <w:tc>
          <w:tcPr>
            <w:tcW w:w="479"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84,415.57</w:t>
            </w:r>
          </w:p>
        </w:tc>
        <w:tc>
          <w:tcPr>
            <w:tcW w:w="4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41,762.50</w:t>
            </w:r>
          </w:p>
        </w:tc>
        <w:tc>
          <w:tcPr>
            <w:tcW w:w="540"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42,653.07</w:t>
            </w:r>
          </w:p>
        </w:tc>
        <w:tc>
          <w:tcPr>
            <w:tcW w:w="597"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78" w:type="pct"/>
            <w:vAlign w:val="center"/>
          </w:tcPr>
          <w:p>
            <w:pPr>
              <w:widowControl/>
              <w:jc w:val="left"/>
              <w:rPr>
                <w:rFonts w:eastAsia="Times New Roman"/>
                <w:kern w:val="0"/>
                <w:sz w:val="20"/>
                <w:szCs w:val="20"/>
              </w:rPr>
            </w:pPr>
          </w:p>
        </w:tc>
      </w:tr>
    </w:tbl>
    <w:p>
      <w:pPr>
        <w:ind w:firstLine="440" w:firstLineChars="200"/>
        <w:rPr>
          <w:rFonts w:ascii="黑体" w:hAnsi="黑体" w:eastAsia="黑体"/>
          <w:sz w:val="24"/>
        </w:rPr>
      </w:pPr>
      <w:r>
        <w:rPr>
          <w:rFonts w:hint="eastAsia" w:ascii="宋体" w:hAnsi="宋体" w:cs="Arial"/>
          <w:color w:val="000000"/>
          <w:kern w:val="0"/>
          <w:sz w:val="22"/>
          <w:szCs w:val="22"/>
        </w:rPr>
        <w:t>注：本表反映部门本年度一般公共预算财政拨款和政府性基金预算财政拨款的总收支和年末结转结余情况。</w:t>
      </w:r>
    </w:p>
    <w:p>
      <w:pPr>
        <w:ind w:firstLine="480" w:firstLineChars="200"/>
        <w:rPr>
          <w:rFonts w:ascii="黑体" w:hAnsi="黑体" w:eastAsia="黑体"/>
          <w:sz w:val="24"/>
        </w:rPr>
      </w:pPr>
      <w:r>
        <w:rPr>
          <w:rFonts w:ascii="黑体" w:hAnsi="黑体" w:eastAsia="黑体"/>
          <w:sz w:val="24"/>
        </w:rPr>
        <w:br w:type="page"/>
      </w: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表五：一般公共预算财政拨款收入支出决算批复表</w:t>
      </w:r>
    </w:p>
    <w:p>
      <w:pPr>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bl>
      <w:tblPr>
        <w:tblStyle w:val="5"/>
        <w:tblW w:w="15687" w:type="dxa"/>
        <w:tblInd w:w="-714" w:type="dxa"/>
        <w:tblLayout w:type="fixed"/>
        <w:tblCellMar>
          <w:top w:w="0" w:type="dxa"/>
          <w:left w:w="108" w:type="dxa"/>
          <w:bottom w:w="0" w:type="dxa"/>
          <w:right w:w="108" w:type="dxa"/>
        </w:tblCellMar>
      </w:tblPr>
      <w:tblGrid>
        <w:gridCol w:w="993"/>
        <w:gridCol w:w="1134"/>
        <w:gridCol w:w="1134"/>
        <w:gridCol w:w="567"/>
        <w:gridCol w:w="1134"/>
        <w:gridCol w:w="1276"/>
        <w:gridCol w:w="1275"/>
        <w:gridCol w:w="1276"/>
        <w:gridCol w:w="1276"/>
        <w:gridCol w:w="1276"/>
        <w:gridCol w:w="1275"/>
        <w:gridCol w:w="567"/>
        <w:gridCol w:w="567"/>
        <w:gridCol w:w="851"/>
        <w:gridCol w:w="850"/>
        <w:gridCol w:w="236"/>
      </w:tblGrid>
      <w:tr>
        <w:tblPrEx>
          <w:tblCellMar>
            <w:top w:w="0" w:type="dxa"/>
            <w:left w:w="108" w:type="dxa"/>
            <w:bottom w:w="0" w:type="dxa"/>
            <w:right w:w="108" w:type="dxa"/>
          </w:tblCellMar>
        </w:tblPrEx>
        <w:trPr>
          <w:gridAfter w:val="1"/>
          <w:wAfter w:w="236" w:type="dxa"/>
          <w:trHeight w:val="309" w:hRule="atLeast"/>
        </w:trPr>
        <w:tc>
          <w:tcPr>
            <w:tcW w:w="993"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科目编码</w:t>
            </w:r>
          </w:p>
        </w:tc>
        <w:tc>
          <w:tcPr>
            <w:tcW w:w="1134"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2835" w:type="dxa"/>
            <w:gridSpan w:val="3"/>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年初结转和结余</w:t>
            </w:r>
          </w:p>
        </w:tc>
        <w:tc>
          <w:tcPr>
            <w:tcW w:w="3827" w:type="dxa"/>
            <w:gridSpan w:val="3"/>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本年收入</w:t>
            </w:r>
          </w:p>
        </w:tc>
        <w:tc>
          <w:tcPr>
            <w:tcW w:w="3827" w:type="dxa"/>
            <w:gridSpan w:val="3"/>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本年支出</w:t>
            </w:r>
          </w:p>
        </w:tc>
        <w:tc>
          <w:tcPr>
            <w:tcW w:w="2835" w:type="dxa"/>
            <w:gridSpan w:val="4"/>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年末结转和结余</w:t>
            </w:r>
          </w:p>
        </w:tc>
      </w:tr>
      <w:tr>
        <w:tblPrEx>
          <w:tblCellMar>
            <w:top w:w="0" w:type="dxa"/>
            <w:left w:w="108" w:type="dxa"/>
            <w:bottom w:w="0" w:type="dxa"/>
            <w:right w:w="108" w:type="dxa"/>
          </w:tblCellMar>
        </w:tblPrEx>
        <w:trPr>
          <w:gridAfter w:val="1"/>
          <w:wAfter w:w="236" w:type="dxa"/>
          <w:trHeight w:val="309" w:hRule="atLeast"/>
        </w:trPr>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567"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基本支出结转</w:t>
            </w:r>
          </w:p>
        </w:tc>
        <w:tc>
          <w:tcPr>
            <w:tcW w:w="1134"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项目支出结转和结余</w:t>
            </w:r>
          </w:p>
        </w:tc>
        <w:tc>
          <w:tcPr>
            <w:tcW w:w="1276"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1275"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基本支出</w:t>
            </w:r>
          </w:p>
        </w:tc>
        <w:tc>
          <w:tcPr>
            <w:tcW w:w="1276"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w:t>
            </w:r>
          </w:p>
        </w:tc>
        <w:tc>
          <w:tcPr>
            <w:tcW w:w="1276"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1276"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基本支出</w:t>
            </w:r>
          </w:p>
        </w:tc>
        <w:tc>
          <w:tcPr>
            <w:tcW w:w="1275"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w:t>
            </w:r>
          </w:p>
        </w:tc>
        <w:tc>
          <w:tcPr>
            <w:tcW w:w="567"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567"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基本支出结转</w:t>
            </w:r>
          </w:p>
        </w:tc>
        <w:tc>
          <w:tcPr>
            <w:tcW w:w="1701" w:type="dxa"/>
            <w:gridSpan w:val="2"/>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项目支出结转和结余</w:t>
            </w:r>
          </w:p>
        </w:tc>
      </w:tr>
      <w:tr>
        <w:tblPrEx>
          <w:tblCellMar>
            <w:top w:w="0" w:type="dxa"/>
            <w:left w:w="108" w:type="dxa"/>
            <w:bottom w:w="0" w:type="dxa"/>
            <w:right w:w="108" w:type="dxa"/>
          </w:tblCellMar>
        </w:tblPrEx>
        <w:trPr>
          <w:gridAfter w:val="1"/>
          <w:wAfter w:w="236" w:type="dxa"/>
          <w:trHeight w:val="312" w:hRule="atLeast"/>
        </w:trPr>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67"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5"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5"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67"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67"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851"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项目支出结转</w:t>
            </w:r>
          </w:p>
        </w:tc>
        <w:tc>
          <w:tcPr>
            <w:tcW w:w="850" w:type="dxa"/>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项目支出结余</w:t>
            </w:r>
          </w:p>
        </w:tc>
      </w:tr>
      <w:tr>
        <w:tblPrEx>
          <w:tblCellMar>
            <w:top w:w="0" w:type="dxa"/>
            <w:left w:w="108" w:type="dxa"/>
            <w:bottom w:w="0" w:type="dxa"/>
            <w:right w:w="108" w:type="dxa"/>
          </w:tblCellMar>
        </w:tblPrEx>
        <w:trPr>
          <w:trHeight w:val="614" w:hRule="atLeast"/>
        </w:trPr>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67"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1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5"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75"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67"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567"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851"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850" w:type="dxa"/>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236" w:type="dxa"/>
            <w:tcBorders>
              <w:top w:val="nil"/>
              <w:left w:val="nil"/>
              <w:bottom w:val="nil"/>
              <w:right w:val="nil"/>
            </w:tcBorders>
            <w:shd w:val="clear" w:color="auto" w:fill="auto"/>
            <w:noWrap/>
            <w:vAlign w:val="bottom"/>
          </w:tcPr>
          <w:p>
            <w:pPr>
              <w:widowControl/>
              <w:jc w:val="center"/>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309" w:hRule="atLeast"/>
        </w:trPr>
        <w:tc>
          <w:tcPr>
            <w:tcW w:w="2127" w:type="dxa"/>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134"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w:t>
            </w:r>
          </w:p>
        </w:tc>
        <w:tc>
          <w:tcPr>
            <w:tcW w:w="567"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2</w:t>
            </w:r>
          </w:p>
        </w:tc>
        <w:tc>
          <w:tcPr>
            <w:tcW w:w="1134"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w:t>
            </w:r>
          </w:p>
        </w:tc>
        <w:tc>
          <w:tcPr>
            <w:tcW w:w="1276"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4</w:t>
            </w:r>
          </w:p>
        </w:tc>
        <w:tc>
          <w:tcPr>
            <w:tcW w:w="1275"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5</w:t>
            </w:r>
          </w:p>
        </w:tc>
        <w:tc>
          <w:tcPr>
            <w:tcW w:w="1276"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6</w:t>
            </w:r>
          </w:p>
        </w:tc>
        <w:tc>
          <w:tcPr>
            <w:tcW w:w="1276"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7</w:t>
            </w:r>
          </w:p>
        </w:tc>
        <w:tc>
          <w:tcPr>
            <w:tcW w:w="1276"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8</w:t>
            </w:r>
          </w:p>
        </w:tc>
        <w:tc>
          <w:tcPr>
            <w:tcW w:w="1275"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9</w:t>
            </w:r>
          </w:p>
        </w:tc>
        <w:tc>
          <w:tcPr>
            <w:tcW w:w="567"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10</w:t>
            </w:r>
          </w:p>
        </w:tc>
        <w:tc>
          <w:tcPr>
            <w:tcW w:w="567"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11</w:t>
            </w:r>
          </w:p>
        </w:tc>
        <w:tc>
          <w:tcPr>
            <w:tcW w:w="851"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12</w:t>
            </w:r>
          </w:p>
        </w:tc>
        <w:tc>
          <w:tcPr>
            <w:tcW w:w="850" w:type="dxa"/>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13</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2127" w:type="dxa"/>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1,194.37</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1,194.37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40,568.13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11,929.28</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28,638.86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41,762.50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11,929.28</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29,833.22</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一般公共服务支出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41.12</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41.12</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20110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人力资源事务</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41.12</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41.12</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2011099</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其他人力资源事务支出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41.12</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41.12</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26.94</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68.06</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教育支出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1,153.25</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1,153.25</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37,886.60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9,746.21</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28,140.39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39,039.85</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9,746.21</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29,293.63</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20501</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教育管理事务</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2050102</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一般行政管理事务</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普通教育</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1,138.25</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1,138.25</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37,886.60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9,746.21</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28,140.39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39,024.85</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9,746.21</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29,278.63</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2050202</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小学教育</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999.37</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577.97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421.40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999.37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577.97</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421.40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2050205</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高等教育</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1,046.45</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1,046.45</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36,887.23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9,168.24</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27,718.99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37,933.68</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9,168.24</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28,765.44</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2050299</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其他普通教育支出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91.79</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91.79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91.79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91.79</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科学技术支出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20699</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其他科学技术支出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2069999</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其他科学技术支出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396.53</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文化旅游体育与传媒支出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20799</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其他文化旅游体育与传媒支出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2079902</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宣传文化发展专项支出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75.00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社会保障和就业支出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1,058.40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行政事业单位养老支出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981.22</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981.22</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981.22</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981.22</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2080505</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机关事业单位基本养老保险缴费支出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2080506</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机关事业单位职业年金缴费支出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33.09</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33.09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33.09</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33.09</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20808</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抚恤</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2080801</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死亡抚恤</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77.18</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卫生健康支出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21011</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行政事业单位医疗</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2101102</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事业单位医疗</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住房保障支出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22102</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住房改革支出</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09" w:hRule="atLeast"/>
        </w:trPr>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2210201</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住房公积金</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567"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1"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50" w:type="dxa"/>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236" w:type="dxa"/>
            <w:vAlign w:val="center"/>
          </w:tcPr>
          <w:p>
            <w:pPr>
              <w:widowControl/>
              <w:jc w:val="left"/>
              <w:rPr>
                <w:rFonts w:eastAsia="Times New Roman"/>
                <w:kern w:val="0"/>
                <w:sz w:val="20"/>
                <w:szCs w:val="20"/>
              </w:rPr>
            </w:pPr>
          </w:p>
        </w:tc>
      </w:tr>
    </w:tbl>
    <w:p>
      <w:pPr>
        <w:ind w:firstLine="440" w:firstLineChars="200"/>
        <w:rPr>
          <w:rFonts w:ascii="黑体" w:hAnsi="黑体" w:eastAsia="黑体"/>
          <w:sz w:val="24"/>
        </w:rPr>
      </w:pPr>
      <w:r>
        <w:rPr>
          <w:rFonts w:hint="eastAsia" w:ascii="宋体" w:hAnsi="宋体" w:cs="Arial"/>
          <w:color w:val="000000"/>
          <w:kern w:val="0"/>
          <w:sz w:val="22"/>
          <w:szCs w:val="22"/>
        </w:rPr>
        <w:t>注：本表反映部门本年度一般公共预算财政拨款支出情况。</w:t>
      </w:r>
    </w:p>
    <w:p>
      <w:pPr>
        <w:ind w:firstLine="480" w:firstLineChars="200"/>
        <w:rPr>
          <w:rFonts w:ascii="黑体" w:hAnsi="黑体" w:eastAsia="黑体"/>
          <w:sz w:val="24"/>
        </w:rPr>
      </w:pPr>
    </w:p>
    <w:p>
      <w:pPr>
        <w:ind w:firstLine="480" w:firstLineChars="200"/>
        <w:rPr>
          <w:rFonts w:ascii="黑体" w:hAnsi="黑体" w:eastAsia="黑体"/>
          <w:sz w:val="24"/>
        </w:rPr>
      </w:pPr>
      <w:r>
        <w:rPr>
          <w:rFonts w:ascii="黑体" w:hAnsi="黑体" w:eastAsia="黑体"/>
          <w:sz w:val="24"/>
        </w:rPr>
        <w:br w:type="page"/>
      </w:r>
    </w:p>
    <w:p>
      <w:pPr>
        <w:spacing w:line="52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表六：</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公共预算财政拨款基本支出决算表</w:t>
      </w:r>
    </w:p>
    <w:p>
      <w:pPr>
        <w:spacing w:line="520" w:lineRule="exact"/>
        <w:ind w:right="330"/>
        <w:jc w:val="right"/>
        <w:rPr>
          <w:rFonts w:ascii="宋体" w:hAnsi="宋体" w:cs="宋体"/>
          <w:kern w:val="0"/>
          <w:sz w:val="22"/>
          <w:szCs w:val="22"/>
        </w:rPr>
      </w:pPr>
      <w:r>
        <w:rPr>
          <w:rFonts w:hint="eastAsia" w:ascii="宋体" w:hAnsi="宋体" w:cs="宋体"/>
          <w:kern w:val="0"/>
          <w:sz w:val="22"/>
          <w:szCs w:val="22"/>
        </w:rPr>
        <w:t>单位：万元</w:t>
      </w:r>
    </w:p>
    <w:tbl>
      <w:tblPr>
        <w:tblStyle w:val="5"/>
        <w:tblW w:w="5134" w:type="pct"/>
        <w:tblInd w:w="0" w:type="dxa"/>
        <w:tblLayout w:type="fixed"/>
        <w:tblCellMar>
          <w:top w:w="0" w:type="dxa"/>
          <w:left w:w="108" w:type="dxa"/>
          <w:bottom w:w="0" w:type="dxa"/>
          <w:right w:w="108" w:type="dxa"/>
        </w:tblCellMar>
      </w:tblPr>
      <w:tblGrid>
        <w:gridCol w:w="878"/>
        <w:gridCol w:w="2660"/>
        <w:gridCol w:w="1290"/>
        <w:gridCol w:w="1226"/>
        <w:gridCol w:w="2070"/>
        <w:gridCol w:w="1327"/>
        <w:gridCol w:w="1033"/>
        <w:gridCol w:w="2620"/>
        <w:gridCol w:w="1205"/>
        <w:gridCol w:w="245"/>
      </w:tblGrid>
      <w:tr>
        <w:tblPrEx>
          <w:tblCellMar>
            <w:top w:w="0" w:type="dxa"/>
            <w:left w:w="108" w:type="dxa"/>
            <w:bottom w:w="0" w:type="dxa"/>
            <w:right w:w="108" w:type="dxa"/>
          </w:tblCellMar>
        </w:tblPrEx>
        <w:trPr>
          <w:gridAfter w:val="1"/>
          <w:wAfter w:w="84" w:type="pct"/>
          <w:trHeight w:val="313" w:hRule="atLeast"/>
        </w:trPr>
        <w:tc>
          <w:tcPr>
            <w:tcW w:w="1659"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人员经费</w:t>
            </w:r>
          </w:p>
        </w:tc>
        <w:tc>
          <w:tcPr>
            <w:tcW w:w="3257" w:type="pct"/>
            <w:gridSpan w:val="6"/>
            <w:tcBorders>
              <w:top w:val="single" w:color="000000" w:sz="4" w:space="0"/>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公用经费</w:t>
            </w:r>
          </w:p>
        </w:tc>
      </w:tr>
      <w:tr>
        <w:tblPrEx>
          <w:tblCellMar>
            <w:top w:w="0" w:type="dxa"/>
            <w:left w:w="108" w:type="dxa"/>
            <w:bottom w:w="0" w:type="dxa"/>
            <w:right w:w="108" w:type="dxa"/>
          </w:tblCellMar>
        </w:tblPrEx>
        <w:trPr>
          <w:gridAfter w:val="1"/>
          <w:wAfter w:w="84" w:type="pct"/>
          <w:trHeight w:val="316" w:hRule="atLeast"/>
        </w:trPr>
        <w:tc>
          <w:tcPr>
            <w:tcW w:w="302" w:type="pct"/>
            <w:vMerge w:val="restart"/>
            <w:tcBorders>
              <w:top w:val="nil"/>
              <w:left w:val="single" w:color="000000" w:sz="4" w:space="0"/>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科目编码</w:t>
            </w:r>
          </w:p>
        </w:tc>
        <w:tc>
          <w:tcPr>
            <w:tcW w:w="914"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443"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决算数</w:t>
            </w:r>
          </w:p>
        </w:tc>
        <w:tc>
          <w:tcPr>
            <w:tcW w:w="421"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科目编码</w:t>
            </w:r>
          </w:p>
        </w:tc>
        <w:tc>
          <w:tcPr>
            <w:tcW w:w="711"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456"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决算数</w:t>
            </w:r>
          </w:p>
        </w:tc>
        <w:tc>
          <w:tcPr>
            <w:tcW w:w="355"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科目编码</w:t>
            </w:r>
          </w:p>
        </w:tc>
        <w:tc>
          <w:tcPr>
            <w:tcW w:w="900"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414"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决算数</w:t>
            </w:r>
          </w:p>
        </w:tc>
      </w:tr>
      <w:tr>
        <w:tblPrEx>
          <w:tblCellMar>
            <w:top w:w="0" w:type="dxa"/>
            <w:left w:w="108" w:type="dxa"/>
            <w:bottom w:w="0" w:type="dxa"/>
            <w:right w:w="108" w:type="dxa"/>
          </w:tblCellMar>
        </w:tblPrEx>
        <w:trPr>
          <w:trHeight w:val="313" w:hRule="atLeast"/>
        </w:trPr>
        <w:tc>
          <w:tcPr>
            <w:tcW w:w="302"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91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43"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21"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711"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56"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355"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900"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1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84" w:type="pct"/>
            <w:tcBorders>
              <w:top w:val="nil"/>
              <w:left w:val="nil"/>
              <w:bottom w:val="nil"/>
              <w:right w:val="nil"/>
            </w:tcBorders>
            <w:shd w:val="clear" w:color="auto" w:fill="auto"/>
            <w:noWrap/>
            <w:vAlign w:val="bottom"/>
          </w:tcPr>
          <w:p>
            <w:pPr>
              <w:widowControl/>
              <w:jc w:val="center"/>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301</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工资福利支出</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8,713.55</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商品和服务支出</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2,056.56</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307</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债务利息及费用支出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30101</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基本工资</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6,227.27</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30201</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办公费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30701</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国内债务付息</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30102</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津贴补贴</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11.90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30202</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印刷费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30702</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国外债务付息</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30103</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奖金</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30203</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咨询费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资本性支出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30106</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伙食补助费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30204</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手续费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31001</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房屋建筑物购建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30107</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绩效工资</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308.96</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30205</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水费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31002</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办公设备购置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30108</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机关事业单位基本养老保险缴费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948.13</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30206</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电费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200.00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31003</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专用设备购置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30109</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职业年金缴费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33.09</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30207</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邮电费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31005</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基础设施建设</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30110</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职工基本医疗保险缴费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414.80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30208</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取暖费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31006</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大型修缮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30111</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公务员医疗补助缴费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30209</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物业管理费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31007</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信息网络及软件购置更新</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30112</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其他社会保障缴费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59.54</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30211</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差旅费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31008</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物资储备</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30113</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住房公积金</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709.86</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30212</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因公出国（境）费用</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31009</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土地补偿</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30114</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医疗费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30213</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维修（护）费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150.00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31010</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安置补助</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30199</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其他工资福利支出</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30214</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租赁费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31011</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地上附着物和青苗补偿</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对个人和家庭的补助</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1,159.16</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30215</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会议费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31012</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拆迁补偿</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30301</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离休费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202.69</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30216</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培训费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31013</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公务用车购置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30302</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退休费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52.46</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30217</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公务接待费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31019</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其他交通工具购置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30303</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退职（役）费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30218</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专用材料费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31021</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文物和陈列品购置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30304</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抚恤金</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98.21</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30224</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被装购置费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31022</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无形资产购置</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30305</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生活补助</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21.05</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30225</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专用燃料费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31099</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其他资本性支出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30306</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救济费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30226</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劳务费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399</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其他支出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30307</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医疗费补助</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30227</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委托业务费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39906</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赠与</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30308</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助学金</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514.11</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30228</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工会经费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108.26</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39907</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国家赔偿费用支出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30309</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奖励金</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30229</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福利费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39908</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对民间非营利组织和群众性自治组织补贴</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30310</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个人农业生产补贴</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30231</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公务用车运行维护费</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39999</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其他支出</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30311</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代缴社会保险费</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30239</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其他交通费用</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30399</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其他对个人和家庭的补助</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270.64</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30240</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税金及附加费用</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0.00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302" w:type="pct"/>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914"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2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30299</w:t>
            </w:r>
          </w:p>
        </w:tc>
        <w:tc>
          <w:tcPr>
            <w:tcW w:w="711"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xml:space="preserve">  其他商品和服务支出</w:t>
            </w:r>
          </w:p>
        </w:tc>
        <w:tc>
          <w:tcPr>
            <w:tcW w:w="456"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1,258.30</w:t>
            </w:r>
          </w:p>
        </w:tc>
        <w:tc>
          <w:tcPr>
            <w:tcW w:w="355"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900" w:type="pct"/>
            <w:tcBorders>
              <w:top w:val="nil"/>
              <w:left w:val="nil"/>
              <w:bottom w:val="single" w:color="000000" w:sz="4" w:space="0"/>
              <w:right w:val="single" w:color="000000" w:sz="4" w:space="0"/>
            </w:tcBorders>
            <w:shd w:val="clear" w:color="FFFFFF" w:fill="C0C0C0"/>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84"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13" w:hRule="atLeast"/>
        </w:trPr>
        <w:tc>
          <w:tcPr>
            <w:tcW w:w="1216" w:type="pct"/>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人员经费合计</w:t>
            </w:r>
          </w:p>
        </w:tc>
        <w:tc>
          <w:tcPr>
            <w:tcW w:w="443"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9,872.72</w:t>
            </w:r>
          </w:p>
        </w:tc>
        <w:tc>
          <w:tcPr>
            <w:tcW w:w="2843" w:type="pct"/>
            <w:gridSpan w:val="5"/>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公用经费合计</w:t>
            </w:r>
          </w:p>
        </w:tc>
        <w:tc>
          <w:tcPr>
            <w:tcW w:w="41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2,056.56</w:t>
            </w:r>
          </w:p>
        </w:tc>
        <w:tc>
          <w:tcPr>
            <w:tcW w:w="84" w:type="pct"/>
            <w:vAlign w:val="center"/>
          </w:tcPr>
          <w:p>
            <w:pPr>
              <w:widowControl/>
              <w:jc w:val="left"/>
              <w:rPr>
                <w:rFonts w:eastAsia="Times New Roman"/>
                <w:kern w:val="0"/>
                <w:sz w:val="20"/>
                <w:szCs w:val="20"/>
              </w:rPr>
            </w:pPr>
          </w:p>
        </w:tc>
      </w:tr>
    </w:tbl>
    <w:p>
      <w:pPr>
        <w:ind w:firstLine="440" w:firstLineChars="200"/>
        <w:rPr>
          <w:rFonts w:ascii="黑体" w:hAnsi="黑体" w:eastAsia="黑体"/>
          <w:sz w:val="24"/>
        </w:rPr>
      </w:pPr>
      <w:r>
        <w:rPr>
          <w:rFonts w:hint="eastAsia" w:ascii="宋体" w:hAnsi="宋体" w:cs="Arial"/>
          <w:color w:val="000000"/>
          <w:kern w:val="0"/>
          <w:sz w:val="22"/>
          <w:szCs w:val="22"/>
        </w:rPr>
        <w:t>注：本表反映部门本年度一般公共预算财政拨款基本支出明细情况。</w:t>
      </w:r>
    </w:p>
    <w:p>
      <w:pPr>
        <w:ind w:firstLine="480" w:firstLineChars="200"/>
        <w:rPr>
          <w:rFonts w:ascii="黑体" w:hAnsi="黑体" w:eastAsia="黑体"/>
          <w:sz w:val="24"/>
        </w:rPr>
      </w:pPr>
    </w:p>
    <w:p>
      <w:pPr>
        <w:rPr>
          <w:rFonts w:hint="eastAsia" w:ascii="黑体" w:hAnsi="黑体" w:eastAsia="黑体"/>
          <w:sz w:val="24"/>
        </w:rPr>
      </w:pPr>
      <w:r>
        <w:rPr>
          <w:rFonts w:ascii="黑体" w:hAnsi="黑体" w:eastAsia="黑体"/>
          <w:sz w:val="24"/>
        </w:rPr>
        <w:br w:type="page"/>
      </w:r>
    </w:p>
    <w:p>
      <w:pPr>
        <w:jc w:val="center"/>
      </w:pPr>
      <w:r>
        <w:rPr>
          <w:rFonts w:hint="eastAsia" w:ascii="方正小标宋简体" w:hAnsi="宋体" w:eastAsia="方正小标宋简体" w:cs="宋体"/>
          <w:kern w:val="0"/>
          <w:sz w:val="36"/>
          <w:szCs w:val="36"/>
        </w:rPr>
        <w:t>表七：政府性基金预算财政拨款收入支出决算表</w:t>
      </w:r>
    </w:p>
    <w:p>
      <w:pPr>
        <w:ind w:firstLine="420" w:firstLineChars="200"/>
        <w:jc w:val="right"/>
        <w:rPr>
          <w:rFonts w:ascii="黑体" w:hAnsi="黑体" w:eastAsia="黑体"/>
          <w:sz w:val="24"/>
        </w:rPr>
      </w:pPr>
      <w:r>
        <w:rPr>
          <w:rFonts w:hint="eastAsia"/>
        </w:rPr>
        <w:t>单位：万元</w:t>
      </w:r>
    </w:p>
    <w:tbl>
      <w:tblPr>
        <w:tblStyle w:val="5"/>
        <w:tblW w:w="14029" w:type="dxa"/>
        <w:tblInd w:w="0" w:type="dxa"/>
        <w:tblLayout w:type="autofit"/>
        <w:tblCellMar>
          <w:top w:w="0" w:type="dxa"/>
          <w:left w:w="108" w:type="dxa"/>
          <w:bottom w:w="0" w:type="dxa"/>
          <w:right w:w="108" w:type="dxa"/>
        </w:tblCellMar>
      </w:tblPr>
      <w:tblGrid>
        <w:gridCol w:w="987"/>
        <w:gridCol w:w="5671"/>
        <w:gridCol w:w="1228"/>
        <w:gridCol w:w="1409"/>
        <w:gridCol w:w="1268"/>
        <w:gridCol w:w="846"/>
        <w:gridCol w:w="1344"/>
        <w:gridCol w:w="1276"/>
      </w:tblGrid>
      <w:tr>
        <w:tblPrEx>
          <w:tblCellMar>
            <w:top w:w="0" w:type="dxa"/>
            <w:left w:w="108" w:type="dxa"/>
            <w:bottom w:w="0" w:type="dxa"/>
            <w:right w:w="108" w:type="dxa"/>
          </w:tblCellMar>
        </w:tblPrEx>
        <w:trPr>
          <w:trHeight w:val="236" w:hRule="atLeast"/>
        </w:trPr>
        <w:tc>
          <w:tcPr>
            <w:tcW w:w="987" w:type="dxa"/>
            <w:vMerge w:val="restart"/>
            <w:tcBorders>
              <w:top w:val="single" w:color="auto" w:sz="4" w:space="0"/>
              <w:left w:val="single" w:color="auto" w:sz="4" w:space="0"/>
              <w:bottom w:val="single" w:color="auto" w:sz="4" w:space="0"/>
              <w:right w:val="single" w:color="auto"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科目编码</w:t>
            </w:r>
          </w:p>
        </w:tc>
        <w:tc>
          <w:tcPr>
            <w:tcW w:w="5671" w:type="dxa"/>
            <w:vMerge w:val="restart"/>
            <w:tcBorders>
              <w:top w:val="single" w:color="auto" w:sz="4" w:space="0"/>
              <w:left w:val="single" w:color="auto" w:sz="4" w:space="0"/>
              <w:bottom w:val="single" w:color="auto" w:sz="4" w:space="0"/>
              <w:right w:val="single" w:color="auto"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科目名称</w:t>
            </w:r>
          </w:p>
        </w:tc>
        <w:tc>
          <w:tcPr>
            <w:tcW w:w="1228"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年初结转和结余</w:t>
            </w:r>
          </w:p>
        </w:tc>
        <w:tc>
          <w:tcPr>
            <w:tcW w:w="1409"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本年收入</w:t>
            </w:r>
          </w:p>
        </w:tc>
        <w:tc>
          <w:tcPr>
            <w:tcW w:w="3458" w:type="dxa"/>
            <w:gridSpan w:val="3"/>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本年支出</w:t>
            </w:r>
          </w:p>
        </w:tc>
        <w:tc>
          <w:tcPr>
            <w:tcW w:w="1276" w:type="dxa"/>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年末结转和结余</w:t>
            </w:r>
          </w:p>
        </w:tc>
      </w:tr>
      <w:tr>
        <w:tblPrEx>
          <w:tblCellMar>
            <w:top w:w="0" w:type="dxa"/>
            <w:left w:w="108" w:type="dxa"/>
            <w:bottom w:w="0" w:type="dxa"/>
            <w:right w:w="108" w:type="dxa"/>
          </w:tblCellMar>
        </w:tblPrEx>
        <w:trPr>
          <w:trHeight w:val="236" w:hRule="atLeast"/>
        </w:trPr>
        <w:tc>
          <w:tcPr>
            <w:tcW w:w="9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56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228"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409"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268" w:type="dxa"/>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小计</w:t>
            </w:r>
          </w:p>
        </w:tc>
        <w:tc>
          <w:tcPr>
            <w:tcW w:w="846" w:type="dxa"/>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基本支出</w:t>
            </w:r>
          </w:p>
        </w:tc>
        <w:tc>
          <w:tcPr>
            <w:tcW w:w="1344" w:type="dxa"/>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项目支出</w:t>
            </w:r>
          </w:p>
        </w:tc>
        <w:tc>
          <w:tcPr>
            <w:tcW w:w="1276"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r>
      <w:tr>
        <w:tblPrEx>
          <w:tblCellMar>
            <w:top w:w="0" w:type="dxa"/>
            <w:left w:w="108" w:type="dxa"/>
            <w:bottom w:w="0" w:type="dxa"/>
            <w:right w:w="108" w:type="dxa"/>
          </w:tblCellMar>
        </w:tblPrEx>
        <w:trPr>
          <w:trHeight w:val="236" w:hRule="atLeast"/>
        </w:trPr>
        <w:tc>
          <w:tcPr>
            <w:tcW w:w="6658" w:type="dxa"/>
            <w:gridSpan w:val="2"/>
            <w:tcBorders>
              <w:top w:val="single" w:color="auto" w:sz="4" w:space="0"/>
              <w:left w:val="single" w:color="auto" w:sz="4" w:space="0"/>
              <w:bottom w:val="single" w:color="auto" w:sz="4" w:space="0"/>
              <w:right w:val="single" w:color="auto"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228"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1409"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1268"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846"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c>
          <w:tcPr>
            <w:tcW w:w="1344"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w:t>
            </w:r>
          </w:p>
        </w:tc>
        <w:tc>
          <w:tcPr>
            <w:tcW w:w="1276"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w:t>
            </w:r>
          </w:p>
        </w:tc>
      </w:tr>
      <w:tr>
        <w:tblPrEx>
          <w:tblCellMar>
            <w:top w:w="0" w:type="dxa"/>
            <w:left w:w="108" w:type="dxa"/>
            <w:bottom w:w="0" w:type="dxa"/>
            <w:right w:w="108" w:type="dxa"/>
          </w:tblCellMar>
        </w:tblPrEx>
        <w:trPr>
          <w:trHeight w:val="236" w:hRule="atLeast"/>
        </w:trPr>
        <w:tc>
          <w:tcPr>
            <w:tcW w:w="6658" w:type="dxa"/>
            <w:gridSpan w:val="2"/>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合计</w:t>
            </w:r>
          </w:p>
        </w:tc>
        <w:tc>
          <w:tcPr>
            <w:tcW w:w="122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b/>
                <w:bCs/>
                <w:color w:val="000000"/>
                <w:kern w:val="0"/>
                <w:sz w:val="22"/>
                <w:szCs w:val="22"/>
              </w:rPr>
            </w:pPr>
            <w:r>
              <w:rPr>
                <w:rFonts w:hint="eastAsia" w:ascii="宋体" w:hAnsi="宋体" w:cs="Arial"/>
                <w:b/>
                <w:bCs/>
                <w:color w:val="000000"/>
                <w:kern w:val="0"/>
                <w:sz w:val="22"/>
                <w:szCs w:val="22"/>
              </w:rPr>
              <w:t>2,653.07</w:t>
            </w:r>
          </w:p>
        </w:tc>
        <w:tc>
          <w:tcPr>
            <w:tcW w:w="140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b/>
                <w:bCs/>
                <w:color w:val="000000"/>
                <w:kern w:val="0"/>
                <w:sz w:val="22"/>
                <w:szCs w:val="22"/>
              </w:rPr>
            </w:pPr>
            <w:r>
              <w:rPr>
                <w:rFonts w:hint="eastAsia" w:ascii="宋体" w:hAnsi="宋体" w:cs="Arial"/>
                <w:b/>
                <w:bCs/>
                <w:color w:val="000000"/>
                <w:kern w:val="0"/>
                <w:sz w:val="22"/>
                <w:szCs w:val="22"/>
              </w:rPr>
              <w:t>40,000.00</w:t>
            </w:r>
          </w:p>
        </w:tc>
        <w:tc>
          <w:tcPr>
            <w:tcW w:w="126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b/>
                <w:bCs/>
                <w:color w:val="000000"/>
                <w:kern w:val="0"/>
                <w:sz w:val="22"/>
                <w:szCs w:val="22"/>
              </w:rPr>
            </w:pPr>
            <w:r>
              <w:rPr>
                <w:rFonts w:hint="eastAsia" w:ascii="宋体" w:hAnsi="宋体" w:cs="Arial"/>
                <w:b/>
                <w:bCs/>
                <w:color w:val="000000"/>
                <w:kern w:val="0"/>
                <w:sz w:val="22"/>
                <w:szCs w:val="22"/>
              </w:rPr>
              <w:t>42,653.07</w:t>
            </w:r>
          </w:p>
        </w:tc>
        <w:tc>
          <w:tcPr>
            <w:tcW w:w="84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34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b/>
                <w:bCs/>
                <w:color w:val="000000"/>
                <w:kern w:val="0"/>
                <w:sz w:val="22"/>
                <w:szCs w:val="22"/>
              </w:rPr>
            </w:pPr>
            <w:r>
              <w:rPr>
                <w:rFonts w:hint="eastAsia" w:ascii="宋体" w:hAnsi="宋体" w:cs="Arial"/>
                <w:b/>
                <w:bCs/>
                <w:color w:val="000000"/>
                <w:kern w:val="0"/>
                <w:sz w:val="22"/>
                <w:szCs w:val="22"/>
              </w:rPr>
              <w:t>42,653.07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CellMar>
            <w:top w:w="0" w:type="dxa"/>
            <w:left w:w="108" w:type="dxa"/>
            <w:bottom w:w="0" w:type="dxa"/>
            <w:right w:w="108" w:type="dxa"/>
          </w:tblCellMar>
        </w:tblPrEx>
        <w:trPr>
          <w:trHeight w:val="236" w:hRule="atLeast"/>
        </w:trPr>
        <w:tc>
          <w:tcPr>
            <w:tcW w:w="987"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229</w:t>
            </w:r>
          </w:p>
        </w:tc>
        <w:tc>
          <w:tcPr>
            <w:tcW w:w="5671"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其他支出</w:t>
            </w:r>
          </w:p>
        </w:tc>
        <w:tc>
          <w:tcPr>
            <w:tcW w:w="122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2,653.07</w:t>
            </w:r>
          </w:p>
        </w:tc>
        <w:tc>
          <w:tcPr>
            <w:tcW w:w="140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40,000.00</w:t>
            </w:r>
          </w:p>
        </w:tc>
        <w:tc>
          <w:tcPr>
            <w:tcW w:w="126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42,653.07</w:t>
            </w:r>
          </w:p>
        </w:tc>
        <w:tc>
          <w:tcPr>
            <w:tcW w:w="84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134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42,653.07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trPr>
        <w:tc>
          <w:tcPr>
            <w:tcW w:w="987"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22904</w:t>
            </w:r>
          </w:p>
        </w:tc>
        <w:tc>
          <w:tcPr>
            <w:tcW w:w="5671"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其他政府性基金及对应专项债务收入安排的支出</w:t>
            </w:r>
          </w:p>
        </w:tc>
        <w:tc>
          <w:tcPr>
            <w:tcW w:w="122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2,653.07</w:t>
            </w:r>
          </w:p>
        </w:tc>
        <w:tc>
          <w:tcPr>
            <w:tcW w:w="140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40,000.00</w:t>
            </w:r>
          </w:p>
        </w:tc>
        <w:tc>
          <w:tcPr>
            <w:tcW w:w="126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42,653.07</w:t>
            </w:r>
          </w:p>
        </w:tc>
        <w:tc>
          <w:tcPr>
            <w:tcW w:w="84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134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42,653.07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trPr>
        <w:tc>
          <w:tcPr>
            <w:tcW w:w="987"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2290401</w:t>
            </w:r>
          </w:p>
        </w:tc>
        <w:tc>
          <w:tcPr>
            <w:tcW w:w="5671"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xml:space="preserve">  其他政府性基金安排的支出</w:t>
            </w:r>
          </w:p>
        </w:tc>
        <w:tc>
          <w:tcPr>
            <w:tcW w:w="122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2,653.07</w:t>
            </w:r>
          </w:p>
        </w:tc>
        <w:tc>
          <w:tcPr>
            <w:tcW w:w="140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126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2,653.07</w:t>
            </w:r>
          </w:p>
        </w:tc>
        <w:tc>
          <w:tcPr>
            <w:tcW w:w="84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134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2,653.07</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trPr>
        <w:tc>
          <w:tcPr>
            <w:tcW w:w="987"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2290402</w:t>
            </w:r>
          </w:p>
        </w:tc>
        <w:tc>
          <w:tcPr>
            <w:tcW w:w="5671"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xml:space="preserve">  其他地方自行试点项目收益专项债券收入安排的支出</w:t>
            </w:r>
          </w:p>
        </w:tc>
        <w:tc>
          <w:tcPr>
            <w:tcW w:w="122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1409"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40,000.00</w:t>
            </w:r>
          </w:p>
        </w:tc>
        <w:tc>
          <w:tcPr>
            <w:tcW w:w="126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40,000.00</w:t>
            </w:r>
          </w:p>
        </w:tc>
        <w:tc>
          <w:tcPr>
            <w:tcW w:w="84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1344"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40,000.00</w:t>
            </w:r>
          </w:p>
        </w:tc>
        <w:tc>
          <w:tcPr>
            <w:tcW w:w="1276"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bl>
    <w:p>
      <w:pPr>
        <w:ind w:firstLine="440" w:firstLineChars="200"/>
        <w:rPr>
          <w:rFonts w:ascii="宋体" w:hAnsi="宋体" w:cs="Arial"/>
          <w:color w:val="000000"/>
          <w:kern w:val="0"/>
          <w:sz w:val="22"/>
          <w:szCs w:val="22"/>
        </w:rPr>
      </w:pPr>
      <w:r>
        <w:rPr>
          <w:rFonts w:hint="eastAsia" w:ascii="宋体" w:hAnsi="宋体" w:cs="Arial"/>
          <w:color w:val="000000"/>
          <w:kern w:val="0"/>
          <w:sz w:val="22"/>
          <w:szCs w:val="22"/>
        </w:rPr>
        <w:t>注：本表反映部门本年度政府性基金预算财政拨款收入、支出及结转和结余情况</w:t>
      </w:r>
    </w:p>
    <w:p>
      <w:pPr>
        <w:ind w:firstLine="440" w:firstLineChars="200"/>
        <w:rPr>
          <w:rFonts w:ascii="宋体" w:hAnsi="宋体" w:cs="Arial"/>
          <w:color w:val="000000"/>
          <w:kern w:val="0"/>
          <w:sz w:val="22"/>
          <w:szCs w:val="22"/>
        </w:rPr>
      </w:pPr>
    </w:p>
    <w:p>
      <w:pPr>
        <w:jc w:val="center"/>
      </w:pPr>
      <w:r>
        <w:rPr>
          <w:rFonts w:hint="eastAsia" w:ascii="方正小标宋简体" w:hAnsi="宋体" w:eastAsia="方正小标宋简体" w:cs="宋体"/>
          <w:kern w:val="0"/>
          <w:sz w:val="36"/>
          <w:szCs w:val="36"/>
        </w:rPr>
        <w:t>表八：国有资本经营预算财政拨款收入支出决算批复表</w:t>
      </w:r>
    </w:p>
    <w:p>
      <w:pPr>
        <w:ind w:firstLine="440" w:firstLineChars="200"/>
        <w:rPr>
          <w:rFonts w:ascii="宋体" w:hAnsi="宋体" w:cs="Arial"/>
          <w:color w:val="000000"/>
          <w:kern w:val="0"/>
          <w:sz w:val="22"/>
          <w:szCs w:val="22"/>
        </w:rPr>
      </w:pPr>
    </w:p>
    <w:tbl>
      <w:tblPr>
        <w:tblStyle w:val="5"/>
        <w:tblW w:w="5120" w:type="pct"/>
        <w:tblInd w:w="0" w:type="dxa"/>
        <w:tblLayout w:type="autofit"/>
        <w:tblCellMar>
          <w:top w:w="0" w:type="dxa"/>
          <w:left w:w="108" w:type="dxa"/>
          <w:bottom w:w="0" w:type="dxa"/>
          <w:right w:w="108" w:type="dxa"/>
        </w:tblCellMar>
      </w:tblPr>
      <w:tblGrid>
        <w:gridCol w:w="1909"/>
        <w:gridCol w:w="1910"/>
        <w:gridCol w:w="3060"/>
        <w:gridCol w:w="1910"/>
        <w:gridCol w:w="1910"/>
        <w:gridCol w:w="1144"/>
        <w:gridCol w:w="1144"/>
        <w:gridCol w:w="1280"/>
        <w:gridCol w:w="247"/>
      </w:tblGrid>
      <w:tr>
        <w:tblPrEx>
          <w:tblCellMar>
            <w:top w:w="0" w:type="dxa"/>
            <w:left w:w="108" w:type="dxa"/>
            <w:bottom w:w="0" w:type="dxa"/>
            <w:right w:w="108" w:type="dxa"/>
          </w:tblCellMar>
        </w:tblPrEx>
        <w:trPr>
          <w:gridAfter w:val="1"/>
          <w:wAfter w:w="84" w:type="pct"/>
          <w:trHeight w:val="327" w:hRule="atLeast"/>
        </w:trPr>
        <w:tc>
          <w:tcPr>
            <w:tcW w:w="658" w:type="pct"/>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科目编码</w:t>
            </w:r>
          </w:p>
        </w:tc>
        <w:tc>
          <w:tcPr>
            <w:tcW w:w="658" w:type="pct"/>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科目名称</w:t>
            </w:r>
          </w:p>
        </w:tc>
        <w:tc>
          <w:tcPr>
            <w:tcW w:w="1054" w:type="pct"/>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年初结转和结余</w:t>
            </w:r>
          </w:p>
        </w:tc>
        <w:tc>
          <w:tcPr>
            <w:tcW w:w="658" w:type="pct"/>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本年收入</w:t>
            </w:r>
          </w:p>
        </w:tc>
        <w:tc>
          <w:tcPr>
            <w:tcW w:w="658" w:type="pct"/>
            <w:vMerge w:val="restart"/>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本年支出</w:t>
            </w:r>
          </w:p>
        </w:tc>
        <w:tc>
          <w:tcPr>
            <w:tcW w:w="1229" w:type="pct"/>
            <w:gridSpan w:val="3"/>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年末结转和结余</w:t>
            </w:r>
          </w:p>
        </w:tc>
      </w:tr>
      <w:tr>
        <w:tblPrEx>
          <w:tblCellMar>
            <w:top w:w="0" w:type="dxa"/>
            <w:left w:w="108" w:type="dxa"/>
            <w:bottom w:w="0" w:type="dxa"/>
            <w:right w:w="108" w:type="dxa"/>
          </w:tblCellMar>
        </w:tblPrEx>
        <w:trPr>
          <w:gridAfter w:val="1"/>
          <w:wAfter w:w="85" w:type="pct"/>
          <w:trHeight w:val="331" w:hRule="atLeast"/>
        </w:trPr>
        <w:tc>
          <w:tcPr>
            <w:tcW w:w="658"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054"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394"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394"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结转</w:t>
            </w:r>
          </w:p>
        </w:tc>
        <w:tc>
          <w:tcPr>
            <w:tcW w:w="441" w:type="pct"/>
            <w:vMerge w:val="restart"/>
            <w:tcBorders>
              <w:top w:val="nil"/>
              <w:left w:val="nil"/>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结余</w:t>
            </w:r>
          </w:p>
        </w:tc>
      </w:tr>
      <w:tr>
        <w:tblPrEx>
          <w:tblCellMar>
            <w:top w:w="0" w:type="dxa"/>
            <w:left w:w="108" w:type="dxa"/>
            <w:bottom w:w="0" w:type="dxa"/>
            <w:right w:w="108" w:type="dxa"/>
          </w:tblCellMar>
        </w:tblPrEx>
        <w:trPr>
          <w:trHeight w:val="327" w:hRule="atLeast"/>
        </w:trPr>
        <w:tc>
          <w:tcPr>
            <w:tcW w:w="658"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054"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39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39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41"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85" w:type="pct"/>
            <w:tcBorders>
              <w:top w:val="nil"/>
              <w:left w:val="nil"/>
              <w:bottom w:val="nil"/>
              <w:right w:val="nil"/>
            </w:tcBorders>
            <w:shd w:val="clear" w:color="auto" w:fill="auto"/>
            <w:noWrap/>
            <w:vAlign w:val="bottom"/>
          </w:tcPr>
          <w:p>
            <w:pPr>
              <w:widowControl/>
              <w:jc w:val="center"/>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651" w:hRule="atLeast"/>
        </w:trPr>
        <w:tc>
          <w:tcPr>
            <w:tcW w:w="658"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1054"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658" w:type="pct"/>
            <w:vMerge w:val="continue"/>
            <w:tcBorders>
              <w:top w:val="single" w:color="000000" w:sz="4" w:space="0"/>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39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394"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441" w:type="pct"/>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85" w:type="pct"/>
            <w:tcBorders>
              <w:top w:val="nil"/>
              <w:left w:val="nil"/>
              <w:bottom w:val="nil"/>
              <w:right w:val="nil"/>
            </w:tcBorders>
            <w:shd w:val="clear" w:color="auto" w:fill="auto"/>
            <w:noWrap/>
            <w:vAlign w:val="bottom"/>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27" w:hRule="atLeast"/>
        </w:trPr>
        <w:tc>
          <w:tcPr>
            <w:tcW w:w="1316" w:type="pct"/>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054"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1</w:t>
            </w:r>
          </w:p>
        </w:tc>
        <w:tc>
          <w:tcPr>
            <w:tcW w:w="658"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2</w:t>
            </w:r>
          </w:p>
        </w:tc>
        <w:tc>
          <w:tcPr>
            <w:tcW w:w="658"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w:t>
            </w:r>
          </w:p>
        </w:tc>
        <w:tc>
          <w:tcPr>
            <w:tcW w:w="394"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4</w:t>
            </w:r>
          </w:p>
        </w:tc>
        <w:tc>
          <w:tcPr>
            <w:tcW w:w="394"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5</w:t>
            </w:r>
          </w:p>
        </w:tc>
        <w:tc>
          <w:tcPr>
            <w:tcW w:w="441" w:type="pct"/>
            <w:tcBorders>
              <w:top w:val="nil"/>
              <w:left w:val="nil"/>
              <w:bottom w:val="single" w:color="000000" w:sz="4" w:space="0"/>
              <w:right w:val="single" w:color="000000" w:sz="4" w:space="0"/>
            </w:tcBorders>
            <w:shd w:val="clear" w:color="FFFFFF" w:fill="C0C0C0"/>
            <w:noWrap/>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6</w:t>
            </w:r>
          </w:p>
        </w:tc>
        <w:tc>
          <w:tcPr>
            <w:tcW w:w="85"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27" w:hRule="atLeast"/>
        </w:trPr>
        <w:tc>
          <w:tcPr>
            <w:tcW w:w="1316" w:type="pct"/>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合计</w:t>
            </w:r>
          </w:p>
        </w:tc>
        <w:tc>
          <w:tcPr>
            <w:tcW w:w="105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658"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658"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39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39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441"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b/>
                <w:bCs/>
                <w:color w:val="000000"/>
                <w:kern w:val="0"/>
                <w:sz w:val="22"/>
                <w:szCs w:val="22"/>
              </w:rPr>
            </w:pPr>
            <w:r>
              <w:rPr>
                <w:rFonts w:hint="eastAsia" w:ascii="宋体" w:hAnsi="宋体" w:cs="Arial"/>
                <w:b/>
                <w:bCs/>
                <w:color w:val="000000"/>
                <w:kern w:val="0"/>
                <w:sz w:val="22"/>
                <w:szCs w:val="22"/>
              </w:rPr>
              <w:t>　</w:t>
            </w:r>
          </w:p>
        </w:tc>
        <w:tc>
          <w:tcPr>
            <w:tcW w:w="85" w:type="pct"/>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27" w:hRule="atLeast"/>
        </w:trPr>
        <w:tc>
          <w:tcPr>
            <w:tcW w:w="658" w:type="pct"/>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658" w:type="pct"/>
            <w:tcBorders>
              <w:top w:val="nil"/>
              <w:left w:val="nil"/>
              <w:bottom w:val="single" w:color="000000" w:sz="4" w:space="0"/>
              <w:right w:val="single" w:color="000000" w:sz="4" w:space="0"/>
            </w:tcBorders>
            <w:shd w:val="clear" w:color="auto" w:fill="auto"/>
            <w:noWrap/>
            <w:vAlign w:val="center"/>
          </w:tcPr>
          <w:p>
            <w:pPr>
              <w:widowControl/>
              <w:jc w:val="lef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105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658"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658"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39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394"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441" w:type="pct"/>
            <w:tcBorders>
              <w:top w:val="nil"/>
              <w:left w:val="nil"/>
              <w:bottom w:val="single" w:color="000000" w:sz="4" w:space="0"/>
              <w:right w:val="single" w:color="000000" w:sz="4" w:space="0"/>
            </w:tcBorders>
            <w:shd w:val="clear" w:color="auto" w:fill="auto"/>
            <w:noWrap/>
            <w:vAlign w:val="center"/>
          </w:tcPr>
          <w:p>
            <w:pPr>
              <w:widowControl/>
              <w:jc w:val="right"/>
              <w:rPr>
                <w:rFonts w:hint="eastAsia" w:ascii="宋体" w:hAnsi="宋体" w:cs="Arial"/>
                <w:color w:val="000000"/>
                <w:kern w:val="0"/>
                <w:sz w:val="22"/>
                <w:szCs w:val="22"/>
              </w:rPr>
            </w:pPr>
            <w:r>
              <w:rPr>
                <w:rFonts w:hint="eastAsia" w:ascii="宋体" w:hAnsi="宋体" w:cs="Arial"/>
                <w:color w:val="000000"/>
                <w:kern w:val="0"/>
                <w:sz w:val="22"/>
                <w:szCs w:val="22"/>
              </w:rPr>
              <w:t>　</w:t>
            </w:r>
          </w:p>
        </w:tc>
        <w:tc>
          <w:tcPr>
            <w:tcW w:w="85" w:type="pct"/>
            <w:vAlign w:val="center"/>
          </w:tcPr>
          <w:p>
            <w:pPr>
              <w:widowControl/>
              <w:jc w:val="left"/>
              <w:rPr>
                <w:rFonts w:eastAsia="Times New Roman"/>
                <w:kern w:val="0"/>
                <w:sz w:val="20"/>
                <w:szCs w:val="20"/>
              </w:rPr>
            </w:pPr>
          </w:p>
        </w:tc>
      </w:tr>
    </w:tbl>
    <w:p>
      <w:pPr>
        <w:rPr>
          <w:rFonts w:hint="eastAsia" w:ascii="宋体" w:hAnsi="宋体" w:cs="Arial"/>
          <w:color w:val="000000"/>
          <w:kern w:val="0"/>
          <w:sz w:val="22"/>
          <w:szCs w:val="22"/>
        </w:rPr>
        <w:sectPr>
          <w:pgSz w:w="16838" w:h="11906" w:orient="landscape"/>
          <w:pgMar w:top="1797" w:right="1440" w:bottom="1797" w:left="1440" w:header="851" w:footer="992" w:gutter="0"/>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w:t>
      </w:r>
      <w:r>
        <w:rPr>
          <w:rFonts w:ascii="黑体" w:hAnsi="黑体" w:eastAsia="黑体"/>
          <w:sz w:val="32"/>
          <w:szCs w:val="32"/>
        </w:rPr>
        <w:t>20</w:t>
      </w:r>
      <w:r>
        <w:rPr>
          <w:rFonts w:hint="eastAsia" w:ascii="黑体" w:hAnsi="黑体" w:eastAsia="黑体"/>
          <w:sz w:val="32"/>
          <w:szCs w:val="32"/>
        </w:rPr>
        <w:t>年度部门决算情况说明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w:t>
      </w:r>
      <w:r>
        <w:rPr>
          <w:rFonts w:ascii="黑体" w:hAnsi="黑体" w:eastAsia="黑体"/>
          <w:kern w:val="0"/>
          <w:sz w:val="32"/>
          <w:szCs w:val="32"/>
        </w:rPr>
        <w:t>20</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（一）本部门20</w:t>
      </w:r>
      <w:r>
        <w:rPr>
          <w:rFonts w:ascii="仿宋_GB2312" w:eastAsia="仿宋_GB2312" w:cs="仿宋_GB2312"/>
          <w:kern w:val="0"/>
          <w:sz w:val="32"/>
          <w:szCs w:val="32"/>
        </w:rPr>
        <w:t>20</w:t>
      </w:r>
      <w:r>
        <w:rPr>
          <w:rFonts w:hint="eastAsia" w:ascii="仿宋_GB2312" w:eastAsia="仿宋_GB2312" w:cs="仿宋_GB2312"/>
          <w:kern w:val="0"/>
          <w:sz w:val="32"/>
          <w:szCs w:val="32"/>
        </w:rPr>
        <w:t>年度总收入</w:t>
      </w:r>
      <w:r>
        <w:rPr>
          <w:rFonts w:ascii="仿宋_GB2312" w:eastAsia="仿宋_GB2312" w:cs="仿宋_GB2312"/>
          <w:kern w:val="0"/>
          <w:sz w:val="32"/>
          <w:szCs w:val="32"/>
        </w:rPr>
        <w:t>138,334.13</w:t>
      </w:r>
      <w:r>
        <w:rPr>
          <w:rFonts w:hint="eastAsia" w:ascii="仿宋_GB2312" w:eastAsia="仿宋_GB2312" w:cs="仿宋_GB2312"/>
          <w:kern w:val="0"/>
          <w:sz w:val="32"/>
          <w:szCs w:val="32"/>
        </w:rPr>
        <w:t>万元，其中本年收入</w:t>
      </w:r>
      <w:r>
        <w:rPr>
          <w:rFonts w:ascii="仿宋_GB2312" w:eastAsia="仿宋_GB2312" w:cs="仿宋_GB2312"/>
          <w:kern w:val="0"/>
          <w:sz w:val="32"/>
          <w:szCs w:val="32"/>
        </w:rPr>
        <w:t>125,109.08</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年度决算数减少1</w:t>
      </w:r>
      <w:r>
        <w:rPr>
          <w:rFonts w:ascii="仿宋_GB2312" w:hAnsi="黑体" w:eastAsia="仿宋_GB2312" w:cs="仿宋_GB2312"/>
          <w:kern w:val="0"/>
          <w:sz w:val="32"/>
          <w:szCs w:val="32"/>
        </w:rPr>
        <w:t>4,146.01</w:t>
      </w:r>
      <w:r>
        <w:rPr>
          <w:rFonts w:hint="eastAsia" w:ascii="仿宋_GB2312" w:hAnsi="黑体" w:eastAsia="仿宋_GB2312" w:cs="仿宋_GB2312"/>
          <w:kern w:val="0"/>
          <w:sz w:val="32"/>
          <w:szCs w:val="32"/>
        </w:rPr>
        <w:t>万元，下降1</w:t>
      </w:r>
      <w:r>
        <w:rPr>
          <w:rFonts w:ascii="仿宋_GB2312" w:hAnsi="黑体" w:eastAsia="仿宋_GB2312" w:cs="仿宋_GB2312"/>
          <w:kern w:val="0"/>
          <w:sz w:val="32"/>
          <w:szCs w:val="32"/>
        </w:rPr>
        <w:t>0.16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kern w:val="0"/>
          <w:sz w:val="32"/>
          <w:szCs w:val="32"/>
        </w:rPr>
        <w:t>40,568.13</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年度决算数减少1</w:t>
      </w:r>
      <w:r>
        <w:rPr>
          <w:rFonts w:ascii="仿宋_GB2312" w:hAnsi="黑体" w:eastAsia="仿宋_GB2312" w:cs="仿宋_GB2312"/>
          <w:kern w:val="0"/>
          <w:sz w:val="32"/>
          <w:szCs w:val="32"/>
        </w:rPr>
        <w:t>0,848.33</w:t>
      </w:r>
      <w:r>
        <w:rPr>
          <w:rFonts w:hint="eastAsia" w:ascii="仿宋_GB2312" w:hAnsi="黑体" w:eastAsia="仿宋_GB2312" w:cs="仿宋_GB2312"/>
          <w:kern w:val="0"/>
          <w:sz w:val="32"/>
          <w:szCs w:val="32"/>
        </w:rPr>
        <w:t>万元，下降2</w:t>
      </w:r>
      <w:r>
        <w:rPr>
          <w:rFonts w:ascii="仿宋_GB2312" w:hAnsi="黑体" w:eastAsia="仿宋_GB2312" w:cs="仿宋_GB2312"/>
          <w:kern w:val="0"/>
          <w:sz w:val="32"/>
          <w:szCs w:val="32"/>
        </w:rPr>
        <w:t>1.10</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kern w:val="0"/>
          <w:sz w:val="32"/>
          <w:szCs w:val="32"/>
        </w:rPr>
        <w:t>2.政府性基金预算财政拨款收入4</w:t>
      </w:r>
      <w:r>
        <w:rPr>
          <w:rFonts w:ascii="仿宋_GB2312" w:eastAsia="仿宋_GB2312" w:cs="仿宋_GB2312"/>
          <w:kern w:val="0"/>
          <w:sz w:val="32"/>
          <w:szCs w:val="32"/>
        </w:rPr>
        <w:t>0,000.00</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w:t>
      </w:r>
      <w:r>
        <w:rPr>
          <w:rFonts w:ascii="仿宋_GB2312" w:hAnsi="黑体" w:eastAsia="仿宋_GB2312" w:cs="仿宋_GB2312"/>
          <w:kern w:val="0"/>
          <w:sz w:val="32"/>
          <w:szCs w:val="32"/>
        </w:rPr>
        <w:t>19</w:t>
      </w:r>
      <w:r>
        <w:rPr>
          <w:rFonts w:hint="eastAsia" w:ascii="仿宋_GB2312" w:hAnsi="黑体" w:eastAsia="仿宋_GB2312" w:cs="仿宋_GB2312"/>
          <w:kern w:val="0"/>
          <w:sz w:val="32"/>
          <w:szCs w:val="32"/>
        </w:rPr>
        <w:t>年度决算数减少</w:t>
      </w:r>
      <w:r>
        <w:rPr>
          <w:rFonts w:ascii="仿宋_GB2312" w:hAnsi="黑体" w:eastAsia="仿宋_GB2312" w:cs="仿宋_GB2312"/>
          <w:kern w:val="0"/>
          <w:sz w:val="32"/>
          <w:szCs w:val="32"/>
        </w:rPr>
        <w:t>5,023.31</w:t>
      </w:r>
      <w:r>
        <w:rPr>
          <w:rFonts w:hint="eastAsia" w:ascii="仿宋_GB2312" w:hAnsi="黑体" w:eastAsia="仿宋_GB2312" w:cs="仿宋_GB2312"/>
          <w:kern w:val="0"/>
          <w:sz w:val="32"/>
          <w:szCs w:val="32"/>
        </w:rPr>
        <w:t>万元，下降1</w:t>
      </w:r>
      <w:r>
        <w:rPr>
          <w:rFonts w:ascii="仿宋_GB2312" w:hAnsi="黑体" w:eastAsia="仿宋_GB2312" w:cs="仿宋_GB2312"/>
          <w:kern w:val="0"/>
          <w:sz w:val="32"/>
          <w:szCs w:val="32"/>
        </w:rPr>
        <w:t>1.16</w:t>
      </w:r>
      <w:r>
        <w:rPr>
          <w:rFonts w:hint="eastAsia" w:ascii="仿宋_GB2312" w:hAnsi="黑体" w:eastAsia="仿宋_GB2312" w:cs="仿宋_GB2312"/>
          <w:kern w:val="0"/>
          <w:sz w:val="32"/>
          <w:szCs w:val="32"/>
        </w:rPr>
        <w:t>%，主要原因是20</w:t>
      </w:r>
      <w:r>
        <w:rPr>
          <w:rFonts w:ascii="仿宋_GB2312" w:hAnsi="黑体" w:eastAsia="仿宋_GB2312" w:cs="仿宋_GB2312"/>
          <w:kern w:val="0"/>
          <w:sz w:val="32"/>
          <w:szCs w:val="32"/>
        </w:rPr>
        <w:t>20</w:t>
      </w:r>
      <w:r>
        <w:rPr>
          <w:rFonts w:hint="eastAsia" w:ascii="仿宋_GB2312" w:hAnsi="黑体" w:eastAsia="仿宋_GB2312" w:cs="仿宋_GB2312"/>
          <w:kern w:val="0"/>
          <w:sz w:val="32"/>
          <w:szCs w:val="32"/>
        </w:rPr>
        <w:t>年自治区财政依旧保持对我校武鸣校区的投入，但财政拨款经费比上年略少。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ascii="仿宋_GB2312" w:eastAsia="仿宋_GB2312"/>
          <w:kern w:val="0"/>
          <w:sz w:val="32"/>
          <w:szCs w:val="32"/>
        </w:rPr>
        <w:t>0</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较2019年度决算数不变。</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4</w:t>
      </w:r>
      <w:r>
        <w:rPr>
          <w:rFonts w:hint="eastAsia" w:ascii="仿宋_GB2312" w:eastAsia="仿宋_GB2312" w:cs="仿宋_GB2312"/>
          <w:kern w:val="0"/>
          <w:sz w:val="32"/>
          <w:szCs w:val="32"/>
        </w:rPr>
        <w:t>.事业收入</w:t>
      </w:r>
      <w:r>
        <w:rPr>
          <w:rFonts w:ascii="仿宋_GB2312" w:eastAsia="仿宋_GB2312"/>
          <w:kern w:val="0"/>
          <w:sz w:val="32"/>
          <w:szCs w:val="32"/>
        </w:rPr>
        <w:t>32,617.84</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年度决算数增加</w:t>
      </w:r>
      <w:r>
        <w:rPr>
          <w:rFonts w:ascii="仿宋_GB2312" w:hAnsi="黑体" w:eastAsia="仿宋_GB2312" w:cs="仿宋_GB2312"/>
          <w:kern w:val="0"/>
          <w:sz w:val="32"/>
          <w:szCs w:val="32"/>
        </w:rPr>
        <w:t>1,480.70</w:t>
      </w:r>
      <w:r>
        <w:rPr>
          <w:rFonts w:hint="eastAsia" w:ascii="仿宋_GB2312" w:hAnsi="黑体" w:eastAsia="仿宋_GB2312" w:cs="仿宋_GB2312"/>
          <w:kern w:val="0"/>
          <w:sz w:val="32"/>
          <w:szCs w:val="32"/>
        </w:rPr>
        <w:t>万元，增长</w:t>
      </w:r>
      <w:r>
        <w:rPr>
          <w:rFonts w:ascii="仿宋_GB2312" w:hAnsi="黑体" w:eastAsia="仿宋_GB2312" w:cs="仿宋_GB2312"/>
          <w:kern w:val="0"/>
          <w:sz w:val="32"/>
          <w:szCs w:val="32"/>
        </w:rPr>
        <w:t>4.76</w:t>
      </w:r>
      <w:r>
        <w:rPr>
          <w:rFonts w:hint="eastAsia" w:ascii="仿宋_GB2312" w:hAnsi="黑体" w:eastAsia="仿宋_GB2312" w:cs="仿宋_GB2312"/>
          <w:kern w:val="0"/>
          <w:sz w:val="32"/>
          <w:szCs w:val="32"/>
        </w:rPr>
        <w:t>%，主要原因是20</w:t>
      </w:r>
      <w:r>
        <w:rPr>
          <w:rFonts w:ascii="仿宋_GB2312" w:hAnsi="黑体" w:eastAsia="仿宋_GB2312" w:cs="仿宋_GB2312"/>
          <w:kern w:val="0"/>
          <w:sz w:val="32"/>
          <w:szCs w:val="32"/>
        </w:rPr>
        <w:t>20</w:t>
      </w:r>
      <w:r>
        <w:rPr>
          <w:rFonts w:hint="eastAsia" w:ascii="仿宋_GB2312" w:hAnsi="黑体" w:eastAsia="仿宋_GB2312" w:cs="仿宋_GB2312"/>
          <w:kern w:val="0"/>
          <w:sz w:val="32"/>
          <w:szCs w:val="32"/>
        </w:rPr>
        <w:t>年学生人数增加，同时加大对以前年度欠费的催缴，学费收入相应增加。</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5</w:t>
      </w:r>
      <w:r>
        <w:rPr>
          <w:rFonts w:hint="eastAsia" w:ascii="仿宋_GB2312" w:eastAsia="仿宋_GB2312" w:cs="仿宋_GB2312"/>
          <w:kern w:val="0"/>
          <w:sz w:val="32"/>
          <w:szCs w:val="32"/>
        </w:rPr>
        <w:t>.经营收入5</w:t>
      </w:r>
      <w:r>
        <w:rPr>
          <w:rFonts w:ascii="仿宋_GB2312" w:eastAsia="仿宋_GB2312" w:cs="仿宋_GB2312"/>
          <w:kern w:val="0"/>
          <w:sz w:val="32"/>
          <w:szCs w:val="32"/>
        </w:rPr>
        <w:t>,661.55</w:t>
      </w:r>
      <w:r>
        <w:rPr>
          <w:rFonts w:hint="eastAsia" w:ascii="仿宋_GB2312" w:eastAsia="仿宋_GB2312" w:cs="仿宋_GB2312"/>
          <w:kern w:val="0"/>
          <w:sz w:val="32"/>
          <w:szCs w:val="32"/>
        </w:rPr>
        <w:t>万元，为事业单位在业务活动之外开展非独立核算经营活动取得的收入。</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年度决算数增加</w:t>
      </w:r>
      <w:r>
        <w:rPr>
          <w:rFonts w:ascii="仿宋_GB2312" w:hAnsi="黑体" w:eastAsia="仿宋_GB2312" w:cs="仿宋_GB2312"/>
          <w:kern w:val="0"/>
          <w:sz w:val="32"/>
          <w:szCs w:val="32"/>
        </w:rPr>
        <w:t>595.88</w:t>
      </w:r>
      <w:r>
        <w:rPr>
          <w:rFonts w:hint="eastAsia" w:ascii="仿宋_GB2312" w:hAnsi="黑体" w:eastAsia="仿宋_GB2312" w:cs="仿宋_GB2312"/>
          <w:kern w:val="0"/>
          <w:sz w:val="32"/>
          <w:szCs w:val="32"/>
        </w:rPr>
        <w:t>万元，增长</w:t>
      </w:r>
      <w:r>
        <w:rPr>
          <w:rFonts w:ascii="仿宋_GB2312" w:hAnsi="黑体" w:eastAsia="仿宋_GB2312" w:cs="仿宋_GB2312"/>
          <w:kern w:val="0"/>
          <w:sz w:val="32"/>
          <w:szCs w:val="32"/>
        </w:rPr>
        <w:t>11.76</w:t>
      </w:r>
      <w:r>
        <w:rPr>
          <w:rFonts w:hint="eastAsia" w:ascii="仿宋_GB2312" w:hAnsi="黑体" w:eastAsia="仿宋_GB2312" w:cs="仿宋_GB2312"/>
          <w:kern w:val="0"/>
          <w:sz w:val="32"/>
          <w:szCs w:val="32"/>
        </w:rPr>
        <w:t>%，主要原因是我校四个校区办学，在学校食堂用餐的人数增加，经营收入有所增加。</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6</w:t>
      </w:r>
      <w:r>
        <w:rPr>
          <w:rFonts w:hint="eastAsia" w:ascii="仿宋_GB2312" w:eastAsia="仿宋_GB2312" w:cs="仿宋_GB2312"/>
          <w:kern w:val="0"/>
          <w:sz w:val="32"/>
          <w:szCs w:val="32"/>
        </w:rPr>
        <w:t>.其他收入6</w:t>
      </w:r>
      <w:r>
        <w:rPr>
          <w:rFonts w:ascii="仿宋_GB2312" w:eastAsia="仿宋_GB2312" w:cs="仿宋_GB2312"/>
          <w:kern w:val="0"/>
          <w:sz w:val="32"/>
          <w:szCs w:val="32"/>
        </w:rPr>
        <w:t>,261.55</w:t>
      </w:r>
      <w:r>
        <w:rPr>
          <w:rFonts w:hint="eastAsia" w:ascii="仿宋_GB2312" w:eastAsia="仿宋_GB2312" w:cs="仿宋_GB2312"/>
          <w:kern w:val="0"/>
          <w:sz w:val="32"/>
          <w:szCs w:val="32"/>
        </w:rPr>
        <w:t>万元，为预算单位在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之外取得的收入。如：</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年度决算数减少2</w:t>
      </w:r>
      <w:r>
        <w:rPr>
          <w:rFonts w:ascii="仿宋_GB2312" w:hAnsi="黑体" w:eastAsia="仿宋_GB2312" w:cs="仿宋_GB2312"/>
          <w:kern w:val="0"/>
          <w:sz w:val="32"/>
          <w:szCs w:val="32"/>
        </w:rPr>
        <w:t>89.66</w:t>
      </w:r>
      <w:r>
        <w:rPr>
          <w:rFonts w:hint="eastAsia" w:ascii="仿宋_GB2312" w:hAnsi="黑体" w:eastAsia="仿宋_GB2312" w:cs="仿宋_GB2312"/>
          <w:kern w:val="0"/>
          <w:sz w:val="32"/>
          <w:szCs w:val="32"/>
        </w:rPr>
        <w:t>万元，下降4</w:t>
      </w:r>
      <w:r>
        <w:rPr>
          <w:rFonts w:ascii="仿宋_GB2312" w:hAnsi="黑体" w:eastAsia="仿宋_GB2312" w:cs="仿宋_GB2312"/>
          <w:kern w:val="0"/>
          <w:sz w:val="32"/>
          <w:szCs w:val="32"/>
        </w:rPr>
        <w:t>.42</w:t>
      </w:r>
      <w:r>
        <w:rPr>
          <w:rFonts w:hint="eastAsia" w:ascii="仿宋_GB2312" w:hAnsi="黑体" w:eastAsia="仿宋_GB2312" w:cs="仿宋_GB2312"/>
          <w:kern w:val="0"/>
          <w:sz w:val="32"/>
          <w:szCs w:val="32"/>
        </w:rPr>
        <w:t>%，主要原因是我校20</w:t>
      </w:r>
      <w:r>
        <w:rPr>
          <w:rFonts w:ascii="仿宋_GB2312" w:hAnsi="黑体" w:eastAsia="仿宋_GB2312" w:cs="仿宋_GB2312"/>
          <w:kern w:val="0"/>
          <w:sz w:val="32"/>
          <w:szCs w:val="32"/>
        </w:rPr>
        <w:t>20</w:t>
      </w:r>
      <w:r>
        <w:rPr>
          <w:rFonts w:hint="eastAsia" w:ascii="仿宋_GB2312" w:hAnsi="黑体" w:eastAsia="仿宋_GB2312" w:cs="仿宋_GB2312"/>
          <w:kern w:val="0"/>
          <w:sz w:val="32"/>
          <w:szCs w:val="32"/>
        </w:rPr>
        <w:t>年</w:t>
      </w:r>
      <w:r>
        <w:rPr>
          <w:rFonts w:hint="eastAsia" w:ascii="仿宋_GB2312" w:hAnsi="黑体" w:eastAsia="仿宋_GB2312" w:cs="仿宋_GB2312"/>
          <w:kern w:val="0"/>
          <w:sz w:val="32"/>
          <w:szCs w:val="32"/>
          <w:lang w:eastAsia="zh-CN"/>
        </w:rPr>
        <w:t>铺面租金收入、</w:t>
      </w:r>
      <w:r>
        <w:rPr>
          <w:rFonts w:hint="eastAsia" w:ascii="仿宋_GB2312" w:hAnsi="黑体" w:eastAsia="仿宋_GB2312" w:cs="仿宋_GB2312"/>
          <w:kern w:val="0"/>
          <w:sz w:val="32"/>
          <w:szCs w:val="32"/>
        </w:rPr>
        <w:t>科研课题收入有所下降。</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7</w:t>
      </w:r>
      <w:r>
        <w:rPr>
          <w:rFonts w:hint="eastAsia" w:ascii="仿宋_GB2312" w:eastAsia="仿宋_GB2312" w:cs="仿宋_GB2312"/>
          <w:kern w:val="0"/>
          <w:sz w:val="32"/>
          <w:szCs w:val="32"/>
        </w:rPr>
        <w:t>.用事业基金弥补收支差额</w:t>
      </w:r>
      <w:r>
        <w:rPr>
          <w:rFonts w:ascii="仿宋_GB2312" w:eastAsia="仿宋_GB2312"/>
          <w:kern w:val="0"/>
          <w:sz w:val="32"/>
          <w:szCs w:val="32"/>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不能保证其支出的情况下，使用以前年度积累的事业基金（事业单位当年收入和支出相抵后按国家规定提取，用于弥补以后年度收支差额的基金）弥补本年度收支缺口的资金。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8</w:t>
      </w:r>
      <w:r>
        <w:rPr>
          <w:rFonts w:hint="eastAsia" w:ascii="仿宋_GB2312" w:eastAsia="仿宋_GB2312" w:cs="仿宋_GB2312"/>
          <w:kern w:val="0"/>
          <w:sz w:val="32"/>
          <w:szCs w:val="32"/>
        </w:rPr>
        <w:t>.上年结转和结余1</w:t>
      </w:r>
      <w:r>
        <w:rPr>
          <w:rFonts w:ascii="仿宋_GB2312" w:eastAsia="仿宋_GB2312" w:cs="仿宋_GB2312"/>
          <w:kern w:val="0"/>
          <w:sz w:val="32"/>
          <w:szCs w:val="32"/>
        </w:rPr>
        <w:t>3,225.05</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年度决算数减少7</w:t>
      </w:r>
      <w:r>
        <w:rPr>
          <w:rFonts w:ascii="仿宋_GB2312" w:hAnsi="黑体" w:eastAsia="仿宋_GB2312" w:cs="仿宋_GB2312"/>
          <w:kern w:val="0"/>
          <w:sz w:val="32"/>
          <w:szCs w:val="32"/>
        </w:rPr>
        <w:t>,848.48</w:t>
      </w:r>
      <w:r>
        <w:rPr>
          <w:rFonts w:hint="eastAsia" w:ascii="仿宋_GB2312" w:hAnsi="黑体" w:eastAsia="仿宋_GB2312" w:cs="仿宋_GB2312"/>
          <w:kern w:val="0"/>
          <w:sz w:val="32"/>
          <w:szCs w:val="32"/>
        </w:rPr>
        <w:t>万元，下降3</w:t>
      </w:r>
      <w:r>
        <w:rPr>
          <w:rFonts w:ascii="仿宋_GB2312" w:hAnsi="黑体" w:eastAsia="仿宋_GB2312" w:cs="仿宋_GB2312"/>
          <w:kern w:val="0"/>
          <w:sz w:val="32"/>
          <w:szCs w:val="32"/>
        </w:rPr>
        <w:t>7.24</w:t>
      </w:r>
      <w:r>
        <w:rPr>
          <w:rFonts w:hint="eastAsia" w:ascii="仿宋_GB2312" w:hAnsi="黑体" w:eastAsia="仿宋_GB2312" w:cs="仿宋_GB2312"/>
          <w:kern w:val="0"/>
          <w:sz w:val="32"/>
          <w:szCs w:val="32"/>
        </w:rPr>
        <w:t>%，主要原因是2</w:t>
      </w:r>
      <w:r>
        <w:rPr>
          <w:rFonts w:ascii="仿宋_GB2312" w:hAnsi="黑体" w:eastAsia="仿宋_GB2312" w:cs="仿宋_GB2312"/>
          <w:kern w:val="0"/>
          <w:sz w:val="32"/>
          <w:szCs w:val="32"/>
        </w:rPr>
        <w:t>019</w:t>
      </w:r>
      <w:r>
        <w:rPr>
          <w:rFonts w:hint="eastAsia" w:ascii="仿宋_GB2312" w:hAnsi="黑体" w:eastAsia="仿宋_GB2312" w:cs="仿宋_GB2312"/>
          <w:kern w:val="0"/>
          <w:sz w:val="32"/>
          <w:szCs w:val="32"/>
        </w:rPr>
        <w:t>年资金执行进度较快，结转结余资金较少。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（二）本部门20</w:t>
      </w:r>
      <w:r>
        <w:rPr>
          <w:rFonts w:ascii="仿宋_GB2312" w:eastAsia="仿宋_GB2312" w:cs="仿宋_GB2312"/>
          <w:kern w:val="0"/>
          <w:sz w:val="32"/>
          <w:szCs w:val="32"/>
        </w:rPr>
        <w:t>20</w:t>
      </w:r>
      <w:r>
        <w:rPr>
          <w:rFonts w:hint="eastAsia" w:ascii="仿宋_GB2312" w:eastAsia="仿宋_GB2312" w:cs="仿宋_GB2312"/>
          <w:kern w:val="0"/>
          <w:sz w:val="32"/>
          <w:szCs w:val="32"/>
        </w:rPr>
        <w:t>年度总支出</w:t>
      </w:r>
      <w:r>
        <w:rPr>
          <w:rFonts w:ascii="仿宋_GB2312" w:eastAsia="仿宋_GB2312"/>
          <w:kern w:val="0"/>
          <w:sz w:val="32"/>
          <w:szCs w:val="32"/>
        </w:rPr>
        <w:t>138,334.13</w:t>
      </w:r>
      <w:r>
        <w:rPr>
          <w:rFonts w:hint="eastAsia" w:ascii="仿宋_GB2312" w:eastAsia="仿宋_GB2312" w:cs="仿宋_GB2312"/>
          <w:kern w:val="0"/>
          <w:sz w:val="32"/>
          <w:szCs w:val="32"/>
        </w:rPr>
        <w:t>万元，其中本年支出</w:t>
      </w:r>
      <w:r>
        <w:rPr>
          <w:rFonts w:ascii="仿宋_GB2312" w:eastAsia="仿宋_GB2312" w:cs="仿宋_GB2312"/>
          <w:kern w:val="0"/>
          <w:sz w:val="32"/>
          <w:szCs w:val="32"/>
        </w:rPr>
        <w:t>127,798.39</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年度决算数减少1</w:t>
      </w:r>
      <w:r>
        <w:rPr>
          <w:rFonts w:ascii="仿宋_GB2312" w:hAnsi="黑体" w:eastAsia="仿宋_GB2312" w:cs="仿宋_GB2312"/>
          <w:kern w:val="0"/>
          <w:sz w:val="32"/>
          <w:szCs w:val="32"/>
        </w:rPr>
        <w:t>8,845.41</w:t>
      </w:r>
      <w:r>
        <w:rPr>
          <w:rFonts w:hint="eastAsia" w:ascii="仿宋_GB2312" w:hAnsi="黑体" w:eastAsia="仿宋_GB2312" w:cs="仿宋_GB2312"/>
          <w:kern w:val="0"/>
          <w:sz w:val="32"/>
          <w:szCs w:val="32"/>
        </w:rPr>
        <w:t>万元，下降1</w:t>
      </w:r>
      <w:r>
        <w:rPr>
          <w:rFonts w:ascii="仿宋_GB2312" w:hAnsi="黑体" w:eastAsia="仿宋_GB2312" w:cs="仿宋_GB2312"/>
          <w:kern w:val="0"/>
          <w:sz w:val="32"/>
          <w:szCs w:val="32"/>
        </w:rPr>
        <w:t>2.85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.一般公共服务支出（类）</w:t>
      </w:r>
      <w:r>
        <w:rPr>
          <w:rFonts w:ascii="仿宋_GB2312" w:eastAsia="仿宋_GB2312" w:cs="仿宋_GB2312"/>
          <w:kern w:val="0"/>
          <w:sz w:val="32"/>
          <w:szCs w:val="32"/>
        </w:rPr>
        <w:t>68.06</w:t>
      </w:r>
      <w:r>
        <w:rPr>
          <w:rFonts w:hint="eastAsia" w:ascii="仿宋_GB2312" w:eastAsia="仿宋_GB2312" w:cs="仿宋_GB2312"/>
          <w:kern w:val="0"/>
          <w:sz w:val="32"/>
          <w:szCs w:val="32"/>
        </w:rPr>
        <w:t>万元：主要用于人力资源事务支出，</w:t>
      </w:r>
      <w:bookmarkStart w:id="0" w:name="_Hlk48644336"/>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年度决算数减少8</w:t>
      </w:r>
      <w:r>
        <w:rPr>
          <w:rFonts w:ascii="仿宋_GB2312" w:hAnsi="黑体" w:eastAsia="仿宋_GB2312" w:cs="仿宋_GB2312"/>
          <w:kern w:val="0"/>
          <w:sz w:val="32"/>
          <w:szCs w:val="32"/>
        </w:rPr>
        <w:t>.88</w:t>
      </w:r>
      <w:r>
        <w:rPr>
          <w:rFonts w:hint="eastAsia" w:ascii="仿宋_GB2312" w:hAnsi="黑体" w:eastAsia="仿宋_GB2312" w:cs="仿宋_GB2312"/>
          <w:kern w:val="0"/>
          <w:sz w:val="32"/>
          <w:szCs w:val="32"/>
        </w:rPr>
        <w:t>万元，下降</w:t>
      </w:r>
      <w:r>
        <w:rPr>
          <w:rFonts w:ascii="仿宋_GB2312" w:hAnsi="黑体" w:eastAsia="仿宋_GB2312" w:cs="仿宋_GB2312"/>
          <w:kern w:val="0"/>
          <w:sz w:val="32"/>
          <w:szCs w:val="32"/>
        </w:rPr>
        <w:t>11.54</w:t>
      </w:r>
      <w:r>
        <w:rPr>
          <w:rFonts w:hint="eastAsia" w:ascii="仿宋_GB2312" w:hAnsi="黑体" w:eastAsia="仿宋_GB2312" w:cs="仿宋_GB2312"/>
          <w:kern w:val="0"/>
          <w:sz w:val="32"/>
          <w:szCs w:val="32"/>
        </w:rPr>
        <w:t>%</w:t>
      </w:r>
      <w:bookmarkEnd w:id="0"/>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kern w:val="0"/>
          <w:sz w:val="32"/>
          <w:szCs w:val="32"/>
        </w:rPr>
      </w:pPr>
      <w:r>
        <w:rPr>
          <w:rFonts w:hint="eastAsia" w:ascii="仿宋_GB2312" w:eastAsia="仿宋_GB2312" w:cs="仿宋_GB2312"/>
          <w:kern w:val="0"/>
          <w:sz w:val="32"/>
          <w:szCs w:val="32"/>
        </w:rPr>
        <w:t>2</w:t>
      </w:r>
      <w:r>
        <w:rPr>
          <w:rFonts w:ascii="仿宋_GB2312" w:eastAsia="仿宋_GB2312" w:cs="仿宋_GB2312"/>
          <w:kern w:val="0"/>
          <w:sz w:val="32"/>
          <w:szCs w:val="32"/>
        </w:rPr>
        <w:t>.</w:t>
      </w:r>
      <w:r>
        <w:rPr>
          <w:rFonts w:hint="eastAsia" w:ascii="仿宋_GB2312" w:eastAsia="仿宋_GB2312" w:cs="仿宋_GB2312"/>
          <w:kern w:val="0"/>
          <w:sz w:val="32"/>
          <w:szCs w:val="32"/>
        </w:rPr>
        <w:t>教育支出（类）</w:t>
      </w:r>
      <w:r>
        <w:rPr>
          <w:rFonts w:ascii="仿宋_GB2312" w:eastAsia="仿宋_GB2312"/>
          <w:kern w:val="0"/>
          <w:sz w:val="32"/>
          <w:szCs w:val="32"/>
        </w:rPr>
        <w:t>81,989.64</w:t>
      </w:r>
      <w:r>
        <w:rPr>
          <w:rFonts w:hint="eastAsia" w:ascii="仿宋_GB2312" w:eastAsia="仿宋_GB2312" w:cs="仿宋_GB2312"/>
          <w:kern w:val="0"/>
          <w:sz w:val="32"/>
          <w:szCs w:val="32"/>
        </w:rPr>
        <w:t>万元，</w:t>
      </w:r>
      <w:r>
        <w:rPr>
          <w:rFonts w:hint="eastAsia" w:ascii="仿宋_GB2312" w:eastAsia="仿宋_GB2312"/>
          <w:kern w:val="0"/>
          <w:sz w:val="32"/>
          <w:szCs w:val="32"/>
        </w:rPr>
        <w:t>主要用于学校教育事业各项开支，</w:t>
      </w:r>
      <w:bookmarkStart w:id="1" w:name="_Hlk48664817"/>
      <w:r>
        <w:rPr>
          <w:rFonts w:hint="eastAsia" w:ascii="仿宋_GB2312" w:eastAsia="仿宋_GB2312"/>
          <w:kern w:val="0"/>
          <w:sz w:val="32"/>
          <w:szCs w:val="32"/>
        </w:rPr>
        <w:t>较201</w:t>
      </w:r>
      <w:r>
        <w:rPr>
          <w:rFonts w:ascii="仿宋_GB2312" w:eastAsia="仿宋_GB2312"/>
          <w:kern w:val="0"/>
          <w:sz w:val="32"/>
          <w:szCs w:val="32"/>
        </w:rPr>
        <w:t>9</w:t>
      </w:r>
      <w:r>
        <w:rPr>
          <w:rFonts w:hint="eastAsia" w:ascii="仿宋_GB2312" w:eastAsia="仿宋_GB2312"/>
          <w:kern w:val="0"/>
          <w:sz w:val="32"/>
          <w:szCs w:val="32"/>
        </w:rPr>
        <w:t>年度决算数减少</w:t>
      </w:r>
      <w:r>
        <w:rPr>
          <w:rFonts w:ascii="仿宋_GB2312" w:eastAsia="仿宋_GB2312"/>
          <w:kern w:val="0"/>
          <w:sz w:val="32"/>
          <w:szCs w:val="32"/>
        </w:rPr>
        <w:t>6,656.88</w:t>
      </w:r>
      <w:r>
        <w:rPr>
          <w:rFonts w:hint="eastAsia" w:ascii="仿宋_GB2312" w:eastAsia="仿宋_GB2312"/>
          <w:kern w:val="0"/>
          <w:sz w:val="32"/>
          <w:szCs w:val="32"/>
        </w:rPr>
        <w:t>万元，下降7</w:t>
      </w:r>
      <w:r>
        <w:rPr>
          <w:rFonts w:ascii="仿宋_GB2312" w:eastAsia="仿宋_GB2312"/>
          <w:kern w:val="0"/>
          <w:sz w:val="32"/>
          <w:szCs w:val="32"/>
        </w:rPr>
        <w:t>.51</w:t>
      </w:r>
      <w:r>
        <w:rPr>
          <w:rFonts w:hint="eastAsia" w:ascii="仿宋_GB2312" w:eastAsia="仿宋_GB2312"/>
          <w:kern w:val="0"/>
          <w:sz w:val="32"/>
          <w:szCs w:val="32"/>
        </w:rPr>
        <w:t>%</w:t>
      </w:r>
      <w:bookmarkEnd w:id="1"/>
      <w:r>
        <w:rPr>
          <w:rFonts w:hint="eastAsia" w:ascii="仿宋_GB2312" w:eastAsia="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3</w:t>
      </w:r>
      <w:r>
        <w:rPr>
          <w:rFonts w:ascii="仿宋_GB2312" w:eastAsia="仿宋_GB2312" w:cs="仿宋_GB2312"/>
          <w:kern w:val="0"/>
          <w:sz w:val="32"/>
          <w:szCs w:val="32"/>
        </w:rPr>
        <w:t>.</w:t>
      </w:r>
      <w:r>
        <w:rPr>
          <w:rFonts w:hint="eastAsia" w:ascii="仿宋_GB2312" w:eastAsia="仿宋_GB2312" w:cs="仿宋_GB2312"/>
          <w:kern w:val="0"/>
          <w:sz w:val="32"/>
          <w:szCs w:val="32"/>
        </w:rPr>
        <w:t>科学技术支出（类）</w:t>
      </w:r>
      <w:r>
        <w:rPr>
          <w:rFonts w:ascii="仿宋_GB2312" w:eastAsia="仿宋_GB2312" w:cs="仿宋_GB2312"/>
          <w:kern w:val="0"/>
          <w:sz w:val="32"/>
          <w:szCs w:val="32"/>
        </w:rPr>
        <w:t>396.53</w:t>
      </w:r>
      <w:r>
        <w:rPr>
          <w:rFonts w:hint="eastAsia" w:ascii="仿宋_GB2312" w:eastAsia="仿宋_GB2312" w:cs="仿宋_GB2312"/>
          <w:kern w:val="0"/>
          <w:sz w:val="32"/>
          <w:szCs w:val="32"/>
        </w:rPr>
        <w:t>万元，主要用于科学研究支出。较201</w:t>
      </w:r>
      <w:r>
        <w:rPr>
          <w:rFonts w:ascii="仿宋_GB2312" w:eastAsia="仿宋_GB2312" w:cs="仿宋_GB2312"/>
          <w:kern w:val="0"/>
          <w:sz w:val="32"/>
          <w:szCs w:val="32"/>
        </w:rPr>
        <w:t>9</w:t>
      </w:r>
      <w:r>
        <w:rPr>
          <w:rFonts w:hint="eastAsia" w:ascii="仿宋_GB2312" w:eastAsia="仿宋_GB2312" w:cs="仿宋_GB2312"/>
          <w:kern w:val="0"/>
          <w:sz w:val="32"/>
          <w:szCs w:val="32"/>
        </w:rPr>
        <w:t>年度决算数减少3</w:t>
      </w:r>
      <w:r>
        <w:rPr>
          <w:rFonts w:ascii="仿宋_GB2312" w:eastAsia="仿宋_GB2312" w:cs="仿宋_GB2312"/>
          <w:kern w:val="0"/>
          <w:sz w:val="32"/>
          <w:szCs w:val="32"/>
        </w:rPr>
        <w:t>61.10</w:t>
      </w:r>
      <w:r>
        <w:rPr>
          <w:rFonts w:hint="eastAsia" w:ascii="仿宋_GB2312" w:eastAsia="仿宋_GB2312" w:cs="仿宋_GB2312"/>
          <w:kern w:val="0"/>
          <w:sz w:val="32"/>
          <w:szCs w:val="32"/>
        </w:rPr>
        <w:t>万元，下降4</w:t>
      </w:r>
      <w:r>
        <w:rPr>
          <w:rFonts w:ascii="仿宋_GB2312" w:eastAsia="仿宋_GB2312" w:cs="仿宋_GB2312"/>
          <w:kern w:val="0"/>
          <w:sz w:val="32"/>
          <w:szCs w:val="32"/>
        </w:rPr>
        <w:t>7.66</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kern w:val="0"/>
          <w:sz w:val="32"/>
          <w:szCs w:val="32"/>
        </w:rPr>
        <w:t>.</w:t>
      </w:r>
      <w:r>
        <w:rPr>
          <w:rFonts w:hint="eastAsia" w:ascii="仿宋_GB2312" w:eastAsia="仿宋_GB2312" w:cs="仿宋_GB2312"/>
          <w:kern w:val="0"/>
          <w:sz w:val="32"/>
          <w:szCs w:val="32"/>
        </w:rPr>
        <w:t>文化旅游体育与传媒支出（类）</w:t>
      </w:r>
      <w:r>
        <w:rPr>
          <w:rFonts w:ascii="仿宋_GB2312" w:eastAsia="仿宋_GB2312" w:cs="仿宋_GB2312"/>
          <w:kern w:val="0"/>
          <w:sz w:val="32"/>
          <w:szCs w:val="32"/>
        </w:rPr>
        <w:t>7</w:t>
      </w:r>
      <w:r>
        <w:rPr>
          <w:rFonts w:hint="eastAsia" w:ascii="仿宋_GB2312" w:eastAsia="仿宋_GB2312" w:cs="仿宋_GB2312"/>
          <w:kern w:val="0"/>
          <w:sz w:val="32"/>
          <w:szCs w:val="32"/>
        </w:rPr>
        <w:t>5万元，主要为我校共建新闻学院、马克思主义基地方面的支出，较201</w:t>
      </w:r>
      <w:r>
        <w:rPr>
          <w:rFonts w:ascii="仿宋_GB2312" w:eastAsia="仿宋_GB2312" w:cs="仿宋_GB2312"/>
          <w:kern w:val="0"/>
          <w:sz w:val="32"/>
          <w:szCs w:val="32"/>
        </w:rPr>
        <w:t>9</w:t>
      </w:r>
      <w:r>
        <w:rPr>
          <w:rFonts w:hint="eastAsia" w:ascii="仿宋_GB2312" w:eastAsia="仿宋_GB2312" w:cs="仿宋_GB2312"/>
          <w:kern w:val="0"/>
          <w:sz w:val="32"/>
          <w:szCs w:val="32"/>
        </w:rPr>
        <w:t>年度决算数不变。</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5</w:t>
      </w:r>
      <w:r>
        <w:rPr>
          <w:rFonts w:ascii="仿宋_GB2312" w:eastAsia="仿宋_GB2312" w:cs="仿宋_GB2312"/>
          <w:kern w:val="0"/>
          <w:sz w:val="32"/>
          <w:szCs w:val="32"/>
        </w:rPr>
        <w:t>.</w:t>
      </w:r>
      <w:r>
        <w:rPr>
          <w:rFonts w:hint="eastAsia" w:ascii="仿宋_GB2312" w:eastAsia="仿宋_GB2312" w:cs="仿宋_GB2312"/>
          <w:kern w:val="0"/>
          <w:sz w:val="32"/>
          <w:szCs w:val="32"/>
        </w:rPr>
        <w:t>社会保障和就业支出（类）1</w:t>
      </w:r>
      <w:r>
        <w:rPr>
          <w:rFonts w:ascii="仿宋_GB2312" w:eastAsia="仿宋_GB2312" w:cs="仿宋_GB2312"/>
          <w:kern w:val="0"/>
          <w:sz w:val="32"/>
          <w:szCs w:val="32"/>
        </w:rPr>
        <w:t>,491.42</w:t>
      </w:r>
      <w:r>
        <w:rPr>
          <w:rFonts w:hint="eastAsia" w:ascii="仿宋_GB2312" w:eastAsia="仿宋_GB2312" w:cs="仿宋_GB2312"/>
          <w:kern w:val="0"/>
          <w:sz w:val="32"/>
          <w:szCs w:val="32"/>
        </w:rPr>
        <w:t>万元，主要用于按国家规定发放的离退休人员工资津补贴，离退休人员管理方面及抚恤金，在职人员的养老保险、职业年金的支出。较201</w:t>
      </w:r>
      <w:r>
        <w:rPr>
          <w:rFonts w:ascii="仿宋_GB2312" w:eastAsia="仿宋_GB2312" w:cs="仿宋_GB2312"/>
          <w:kern w:val="0"/>
          <w:sz w:val="32"/>
          <w:szCs w:val="32"/>
        </w:rPr>
        <w:t>9</w:t>
      </w:r>
      <w:r>
        <w:rPr>
          <w:rFonts w:hint="eastAsia" w:ascii="仿宋_GB2312" w:eastAsia="仿宋_GB2312" w:cs="仿宋_GB2312"/>
          <w:kern w:val="0"/>
          <w:sz w:val="32"/>
          <w:szCs w:val="32"/>
        </w:rPr>
        <w:t>年度决算数减少</w:t>
      </w:r>
      <w:r>
        <w:rPr>
          <w:rFonts w:ascii="仿宋_GB2312" w:eastAsia="仿宋_GB2312" w:cs="仿宋_GB2312"/>
          <w:kern w:val="0"/>
          <w:sz w:val="32"/>
          <w:szCs w:val="32"/>
        </w:rPr>
        <w:t>79.63</w:t>
      </w:r>
      <w:r>
        <w:rPr>
          <w:rFonts w:hint="eastAsia" w:ascii="仿宋_GB2312" w:eastAsia="仿宋_GB2312" w:cs="仿宋_GB2312"/>
          <w:kern w:val="0"/>
          <w:sz w:val="32"/>
          <w:szCs w:val="32"/>
        </w:rPr>
        <w:t>万元，下降5</w:t>
      </w:r>
      <w:r>
        <w:rPr>
          <w:rFonts w:ascii="仿宋_GB2312" w:eastAsia="仿宋_GB2312" w:cs="仿宋_GB2312"/>
          <w:kern w:val="0"/>
          <w:sz w:val="32"/>
          <w:szCs w:val="32"/>
        </w:rPr>
        <w:t>.07%</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6</w:t>
      </w:r>
      <w:r>
        <w:rPr>
          <w:rFonts w:ascii="仿宋_GB2312" w:eastAsia="仿宋_GB2312" w:cs="仿宋_GB2312"/>
          <w:kern w:val="0"/>
          <w:sz w:val="32"/>
          <w:szCs w:val="32"/>
        </w:rPr>
        <w:t>.</w:t>
      </w:r>
      <w:r>
        <w:rPr>
          <w:rFonts w:hint="eastAsia" w:ascii="仿宋_GB2312" w:eastAsia="仿宋_GB2312" w:cs="仿宋_GB2312"/>
          <w:kern w:val="0"/>
          <w:sz w:val="32"/>
          <w:szCs w:val="32"/>
        </w:rPr>
        <w:t>卫生健康支出（类）4</w:t>
      </w:r>
      <w:r>
        <w:rPr>
          <w:rFonts w:ascii="仿宋_GB2312" w:eastAsia="仿宋_GB2312" w:cs="仿宋_GB2312"/>
          <w:kern w:val="0"/>
          <w:sz w:val="32"/>
          <w:szCs w:val="32"/>
        </w:rPr>
        <w:t>14.80</w:t>
      </w:r>
      <w:r>
        <w:rPr>
          <w:rFonts w:hint="eastAsia" w:ascii="仿宋_GB2312" w:eastAsia="仿宋_GB2312" w:cs="仿宋_GB2312"/>
          <w:kern w:val="0"/>
          <w:sz w:val="32"/>
          <w:szCs w:val="32"/>
        </w:rPr>
        <w:t>万元，主要用于按照国家政策规定支付医疗保险方面的支出。较201</w:t>
      </w:r>
      <w:r>
        <w:rPr>
          <w:rFonts w:ascii="仿宋_GB2312" w:eastAsia="仿宋_GB2312" w:cs="仿宋_GB2312"/>
          <w:kern w:val="0"/>
          <w:sz w:val="32"/>
          <w:szCs w:val="32"/>
        </w:rPr>
        <w:t>9</w:t>
      </w:r>
      <w:r>
        <w:rPr>
          <w:rFonts w:hint="eastAsia" w:ascii="仿宋_GB2312" w:eastAsia="仿宋_GB2312" w:cs="仿宋_GB2312"/>
          <w:kern w:val="0"/>
          <w:sz w:val="32"/>
          <w:szCs w:val="32"/>
        </w:rPr>
        <w:t>年度决算数增加</w:t>
      </w:r>
      <w:r>
        <w:rPr>
          <w:rFonts w:ascii="仿宋_GB2312" w:eastAsia="仿宋_GB2312" w:cs="仿宋_GB2312"/>
          <w:kern w:val="0"/>
          <w:sz w:val="32"/>
          <w:szCs w:val="32"/>
        </w:rPr>
        <w:t>49.30</w:t>
      </w:r>
      <w:r>
        <w:rPr>
          <w:rFonts w:hint="eastAsia" w:ascii="仿宋_GB2312" w:eastAsia="仿宋_GB2312" w:cs="仿宋_GB2312"/>
          <w:kern w:val="0"/>
          <w:sz w:val="32"/>
          <w:szCs w:val="32"/>
        </w:rPr>
        <w:t>万元，增长1</w:t>
      </w:r>
      <w:r>
        <w:rPr>
          <w:rFonts w:ascii="仿宋_GB2312" w:eastAsia="仿宋_GB2312" w:cs="仿宋_GB2312"/>
          <w:kern w:val="0"/>
          <w:sz w:val="32"/>
          <w:szCs w:val="32"/>
        </w:rPr>
        <w:t>3.49</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7</w:t>
      </w:r>
      <w:r>
        <w:rPr>
          <w:rFonts w:ascii="仿宋_GB2312" w:eastAsia="仿宋_GB2312" w:cs="仿宋_GB2312"/>
          <w:kern w:val="0"/>
          <w:sz w:val="32"/>
          <w:szCs w:val="32"/>
        </w:rPr>
        <w:t>.</w:t>
      </w:r>
      <w:r>
        <w:rPr>
          <w:rFonts w:hint="eastAsia" w:ascii="仿宋_GB2312" w:eastAsia="仿宋_GB2312" w:cs="仿宋_GB2312"/>
          <w:kern w:val="0"/>
          <w:sz w:val="32"/>
          <w:szCs w:val="32"/>
        </w:rPr>
        <w:t>住房保障支出（类）7</w:t>
      </w:r>
      <w:r>
        <w:rPr>
          <w:rFonts w:ascii="仿宋_GB2312" w:eastAsia="仿宋_GB2312" w:cs="仿宋_GB2312"/>
          <w:kern w:val="0"/>
          <w:sz w:val="32"/>
          <w:szCs w:val="32"/>
        </w:rPr>
        <w:t>09.86</w:t>
      </w:r>
      <w:r>
        <w:rPr>
          <w:rFonts w:hint="eastAsia" w:ascii="仿宋_GB2312" w:eastAsia="仿宋_GB2312" w:cs="仿宋_GB2312"/>
          <w:kern w:val="0"/>
          <w:sz w:val="32"/>
          <w:szCs w:val="32"/>
        </w:rPr>
        <w:t>万元，主要用于按照国家政策规定向职工发放的住房公积金、提租补贴、购房补贴等住房改革方面的支出。较201</w:t>
      </w:r>
      <w:r>
        <w:rPr>
          <w:rFonts w:ascii="仿宋_GB2312" w:eastAsia="仿宋_GB2312" w:cs="仿宋_GB2312"/>
          <w:kern w:val="0"/>
          <w:sz w:val="32"/>
          <w:szCs w:val="32"/>
        </w:rPr>
        <w:t>9</w:t>
      </w:r>
      <w:r>
        <w:rPr>
          <w:rFonts w:hint="eastAsia" w:ascii="仿宋_GB2312" w:eastAsia="仿宋_GB2312" w:cs="仿宋_GB2312"/>
          <w:kern w:val="0"/>
          <w:sz w:val="32"/>
          <w:szCs w:val="32"/>
        </w:rPr>
        <w:t>年度决算数增加</w:t>
      </w:r>
      <w:r>
        <w:rPr>
          <w:rFonts w:ascii="仿宋_GB2312" w:eastAsia="仿宋_GB2312" w:cs="仿宋_GB2312"/>
          <w:kern w:val="0"/>
          <w:sz w:val="32"/>
          <w:szCs w:val="32"/>
        </w:rPr>
        <w:t>83.28</w:t>
      </w:r>
      <w:r>
        <w:rPr>
          <w:rFonts w:hint="eastAsia" w:ascii="仿宋_GB2312" w:eastAsia="仿宋_GB2312" w:cs="仿宋_GB2312"/>
          <w:kern w:val="0"/>
          <w:sz w:val="32"/>
          <w:szCs w:val="32"/>
        </w:rPr>
        <w:t>万元，增长</w:t>
      </w:r>
      <w:r>
        <w:rPr>
          <w:rFonts w:ascii="仿宋_GB2312" w:eastAsia="仿宋_GB2312" w:cs="仿宋_GB2312"/>
          <w:kern w:val="0"/>
          <w:sz w:val="32"/>
          <w:szCs w:val="32"/>
        </w:rPr>
        <w:t>13.29</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其他支出（类）</w:t>
      </w:r>
      <w:r>
        <w:rPr>
          <w:rFonts w:ascii="仿宋_GB2312" w:eastAsia="仿宋_GB2312" w:cs="仿宋_GB2312"/>
          <w:kern w:val="0"/>
          <w:sz w:val="32"/>
          <w:szCs w:val="32"/>
        </w:rPr>
        <w:t>42,653.07</w:t>
      </w:r>
      <w:r>
        <w:rPr>
          <w:rFonts w:hint="eastAsia" w:ascii="仿宋_GB2312" w:eastAsia="仿宋_GB2312" w:cs="仿宋_GB2312"/>
          <w:kern w:val="0"/>
          <w:sz w:val="32"/>
          <w:szCs w:val="32"/>
        </w:rPr>
        <w:t>万元，主要用于我校武鸣校区建设支出。较201</w:t>
      </w:r>
      <w:r>
        <w:rPr>
          <w:rFonts w:ascii="仿宋_GB2312" w:eastAsia="仿宋_GB2312" w:cs="仿宋_GB2312"/>
          <w:kern w:val="0"/>
          <w:sz w:val="32"/>
          <w:szCs w:val="32"/>
        </w:rPr>
        <w:t>9</w:t>
      </w:r>
      <w:r>
        <w:rPr>
          <w:rFonts w:hint="eastAsia" w:ascii="仿宋_GB2312" w:eastAsia="仿宋_GB2312" w:cs="仿宋_GB2312"/>
          <w:kern w:val="0"/>
          <w:sz w:val="32"/>
          <w:szCs w:val="32"/>
        </w:rPr>
        <w:t>年度决算数减少1</w:t>
      </w:r>
      <w:r>
        <w:rPr>
          <w:rFonts w:ascii="仿宋_GB2312" w:eastAsia="仿宋_GB2312" w:cs="仿宋_GB2312"/>
          <w:kern w:val="0"/>
          <w:sz w:val="32"/>
          <w:szCs w:val="32"/>
        </w:rPr>
        <w:t>1</w:t>
      </w:r>
      <w:r>
        <w:rPr>
          <w:rFonts w:hint="eastAsia" w:ascii="仿宋_GB2312" w:eastAsia="仿宋_GB2312" w:cs="仿宋_GB2312"/>
          <w:kern w:val="0"/>
          <w:sz w:val="32"/>
          <w:szCs w:val="32"/>
        </w:rPr>
        <w:t>,</w:t>
      </w:r>
      <w:r>
        <w:rPr>
          <w:rFonts w:ascii="仿宋_GB2312" w:eastAsia="仿宋_GB2312" w:cs="仿宋_GB2312"/>
          <w:kern w:val="0"/>
          <w:sz w:val="32"/>
          <w:szCs w:val="32"/>
        </w:rPr>
        <w:t>871.52</w:t>
      </w:r>
      <w:r>
        <w:rPr>
          <w:rFonts w:hint="eastAsia" w:ascii="仿宋_GB2312" w:eastAsia="仿宋_GB2312" w:cs="仿宋_GB2312"/>
          <w:kern w:val="0"/>
          <w:sz w:val="32"/>
          <w:szCs w:val="32"/>
        </w:rPr>
        <w:t>万元，下降2</w:t>
      </w:r>
      <w:r>
        <w:rPr>
          <w:rFonts w:ascii="仿宋_GB2312" w:eastAsia="仿宋_GB2312" w:cs="仿宋_GB2312"/>
          <w:kern w:val="0"/>
          <w:sz w:val="32"/>
          <w:szCs w:val="32"/>
        </w:rPr>
        <w:t>1.77</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9</w:t>
      </w:r>
      <w:r>
        <w:rPr>
          <w:rFonts w:hint="eastAsia" w:ascii="仿宋_GB2312" w:eastAsia="仿宋_GB2312" w:cs="仿宋_GB2312"/>
          <w:kern w:val="0"/>
          <w:sz w:val="32"/>
          <w:szCs w:val="32"/>
        </w:rPr>
        <w:t>.结余分配</w:t>
      </w:r>
      <w:r>
        <w:rPr>
          <w:rFonts w:ascii="仿宋_GB2312" w:eastAsia="仿宋_GB2312"/>
          <w:kern w:val="0"/>
          <w:sz w:val="32"/>
          <w:szCs w:val="32"/>
        </w:rPr>
        <w:t>807.20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年度决算数增加3</w:t>
      </w:r>
      <w:r>
        <w:rPr>
          <w:rFonts w:ascii="仿宋_GB2312" w:hAnsi="黑体" w:eastAsia="仿宋_GB2312" w:cs="仿宋_GB2312"/>
          <w:kern w:val="0"/>
          <w:sz w:val="32"/>
          <w:szCs w:val="32"/>
        </w:rPr>
        <w:t>47.43</w:t>
      </w:r>
      <w:r>
        <w:rPr>
          <w:rFonts w:hint="eastAsia" w:ascii="仿宋_GB2312" w:hAnsi="黑体" w:eastAsia="仿宋_GB2312" w:cs="仿宋_GB2312"/>
          <w:kern w:val="0"/>
          <w:sz w:val="32"/>
          <w:szCs w:val="32"/>
        </w:rPr>
        <w:t>万元，增长</w:t>
      </w:r>
      <w:r>
        <w:rPr>
          <w:rFonts w:ascii="仿宋_GB2312" w:hAnsi="黑体" w:eastAsia="仿宋_GB2312" w:cs="仿宋_GB2312"/>
          <w:kern w:val="0"/>
          <w:sz w:val="32"/>
          <w:szCs w:val="32"/>
        </w:rPr>
        <w:t>75.57</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ascii="仿宋_GB2312" w:eastAsia="仿宋_GB2312"/>
          <w:bCs/>
          <w:kern w:val="0"/>
          <w:sz w:val="32"/>
          <w:szCs w:val="32"/>
        </w:rPr>
        <w:t>10</w:t>
      </w:r>
      <w:r>
        <w:rPr>
          <w:rFonts w:hint="eastAsia" w:ascii="仿宋_GB2312" w:eastAsia="仿宋_GB2312" w:cs="仿宋_GB2312"/>
          <w:kern w:val="0"/>
          <w:sz w:val="32"/>
          <w:szCs w:val="32"/>
        </w:rPr>
        <w:t>.年末结转和结余9</w:t>
      </w:r>
      <w:r>
        <w:rPr>
          <w:rFonts w:ascii="仿宋_GB2312" w:eastAsia="仿宋_GB2312" w:cs="仿宋_GB2312"/>
          <w:kern w:val="0"/>
          <w:sz w:val="32"/>
          <w:szCs w:val="32"/>
        </w:rPr>
        <w:t>,728.54</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年度决算数减少3</w:t>
      </w:r>
      <w:r>
        <w:rPr>
          <w:rFonts w:ascii="仿宋_GB2312" w:hAnsi="黑体" w:eastAsia="仿宋_GB2312" w:cs="仿宋_GB2312"/>
          <w:kern w:val="0"/>
          <w:sz w:val="32"/>
          <w:szCs w:val="32"/>
        </w:rPr>
        <w:t>,496.51</w:t>
      </w:r>
      <w:r>
        <w:rPr>
          <w:rFonts w:hint="eastAsia" w:ascii="仿宋_GB2312" w:hAnsi="黑体" w:eastAsia="仿宋_GB2312" w:cs="仿宋_GB2312"/>
          <w:kern w:val="0"/>
          <w:sz w:val="32"/>
          <w:szCs w:val="32"/>
        </w:rPr>
        <w:t>万元，下降</w:t>
      </w:r>
      <w:r>
        <w:rPr>
          <w:rFonts w:ascii="仿宋_GB2312" w:hAnsi="黑体" w:eastAsia="仿宋_GB2312" w:cs="仿宋_GB2312"/>
          <w:kern w:val="0"/>
          <w:sz w:val="32"/>
          <w:szCs w:val="32"/>
        </w:rPr>
        <w:t>26.44</w:t>
      </w:r>
      <w:r>
        <w:rPr>
          <w:rFonts w:hint="eastAsia" w:ascii="仿宋_GB2312" w:hAnsi="黑体" w:eastAsia="仿宋_GB2312" w:cs="仿宋_GB2312"/>
          <w:kern w:val="0"/>
          <w:sz w:val="32"/>
          <w:szCs w:val="32"/>
        </w:rPr>
        <w:t>%，主要原因是</w:t>
      </w:r>
      <w:r>
        <w:rPr>
          <w:rFonts w:ascii="仿宋_GB2312" w:hAnsi="黑体" w:eastAsia="仿宋_GB2312" w:cs="仿宋_GB2312"/>
          <w:kern w:val="0"/>
          <w:sz w:val="32"/>
          <w:szCs w:val="32"/>
        </w:rPr>
        <w:t>2020</w:t>
      </w:r>
      <w:r>
        <w:rPr>
          <w:rFonts w:hint="eastAsia" w:ascii="仿宋_GB2312" w:hAnsi="黑体" w:eastAsia="仿宋_GB2312" w:cs="仿宋_GB2312"/>
          <w:kern w:val="0"/>
          <w:sz w:val="32"/>
          <w:szCs w:val="32"/>
        </w:rPr>
        <w:t>年提高了这部分资金的利用率。</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w:t>
      </w:r>
      <w:r>
        <w:rPr>
          <w:rFonts w:ascii="黑体" w:hAnsi="黑体" w:eastAsia="黑体"/>
          <w:kern w:val="0"/>
          <w:sz w:val="32"/>
          <w:szCs w:val="32"/>
        </w:rPr>
        <w:t>20</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eastAsia="仿宋_GB2312"/>
          <w:kern w:val="0"/>
          <w:sz w:val="32"/>
          <w:szCs w:val="32"/>
        </w:rPr>
        <w:t>20</w:t>
      </w:r>
      <w:r>
        <w:rPr>
          <w:rFonts w:ascii="仿宋_GB2312" w:eastAsia="仿宋_GB2312"/>
          <w:kern w:val="0"/>
          <w:sz w:val="32"/>
          <w:szCs w:val="32"/>
        </w:rPr>
        <w:t>20</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ascii="仿宋_GB2312" w:eastAsia="仿宋_GB2312" w:cs="仿宋_GB2312"/>
          <w:kern w:val="0"/>
          <w:sz w:val="32"/>
          <w:szCs w:val="32"/>
        </w:rPr>
        <w:t>41,762.50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较201</w:t>
      </w:r>
      <w:r>
        <w:rPr>
          <w:rFonts w:ascii="仿宋_GB2312" w:hAnsi="黑体" w:eastAsia="仿宋_GB2312" w:cs="仿宋_GB2312"/>
          <w:kern w:val="0"/>
          <w:sz w:val="32"/>
          <w:szCs w:val="32"/>
        </w:rPr>
        <w:t>9</w:t>
      </w:r>
      <w:r>
        <w:rPr>
          <w:rFonts w:hint="eastAsia" w:ascii="仿宋_GB2312" w:hAnsi="黑体" w:eastAsia="仿宋_GB2312" w:cs="仿宋_GB2312"/>
          <w:kern w:val="0"/>
          <w:sz w:val="32"/>
          <w:szCs w:val="32"/>
        </w:rPr>
        <w:t>年度决算数减少</w:t>
      </w:r>
      <w:r>
        <w:rPr>
          <w:rFonts w:ascii="仿宋_GB2312" w:hAnsi="黑体" w:eastAsia="仿宋_GB2312" w:cs="仿宋_GB2312"/>
          <w:kern w:val="0"/>
          <w:sz w:val="32"/>
          <w:szCs w:val="32"/>
        </w:rPr>
        <w:t>8,831.40</w:t>
      </w:r>
      <w:r>
        <w:rPr>
          <w:rFonts w:hint="eastAsia" w:ascii="仿宋_GB2312" w:hAnsi="黑体" w:eastAsia="仿宋_GB2312" w:cs="仿宋_GB2312"/>
          <w:kern w:val="0"/>
          <w:sz w:val="32"/>
          <w:szCs w:val="32"/>
        </w:rPr>
        <w:t>万元，下降1</w:t>
      </w:r>
      <w:r>
        <w:rPr>
          <w:rFonts w:ascii="仿宋_GB2312" w:hAnsi="黑体" w:eastAsia="仿宋_GB2312" w:cs="仿宋_GB2312"/>
          <w:kern w:val="0"/>
          <w:sz w:val="32"/>
          <w:szCs w:val="32"/>
        </w:rPr>
        <w:t>7.46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ascii="仿宋_GB2312" w:eastAsia="仿宋_GB2312"/>
          <w:kern w:val="0"/>
          <w:sz w:val="32"/>
          <w:szCs w:val="32"/>
        </w:rPr>
        <w:t>11,929.28</w:t>
      </w:r>
      <w:r>
        <w:rPr>
          <w:rFonts w:hint="eastAsia" w:ascii="仿宋_GB2312" w:eastAsia="仿宋_GB2312" w:cs="仿宋_GB2312"/>
          <w:kern w:val="0"/>
          <w:sz w:val="32"/>
          <w:szCs w:val="32"/>
        </w:rPr>
        <w:t>万元，项目支出2</w:t>
      </w:r>
      <w:r>
        <w:rPr>
          <w:rFonts w:ascii="仿宋_GB2312" w:eastAsia="仿宋_GB2312" w:cs="仿宋_GB2312"/>
          <w:kern w:val="0"/>
          <w:sz w:val="32"/>
          <w:szCs w:val="32"/>
        </w:rPr>
        <w:t>9,833.22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hAnsi="黑体" w:eastAsia="仿宋_GB2312"/>
          <w:kern w:val="0"/>
          <w:sz w:val="32"/>
          <w:szCs w:val="32"/>
        </w:rPr>
        <w:t>20</w:t>
      </w:r>
      <w:r>
        <w:rPr>
          <w:rFonts w:ascii="仿宋_GB2312" w:hAnsi="黑体" w:eastAsia="仿宋_GB2312"/>
          <w:kern w:val="0"/>
          <w:sz w:val="32"/>
          <w:szCs w:val="32"/>
        </w:rPr>
        <w:t>20</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ascii="仿宋_GB2312" w:hAnsi="黑体" w:eastAsia="仿宋_GB2312" w:cs="仿宋_GB2312"/>
          <w:kern w:val="0"/>
          <w:sz w:val="32"/>
          <w:szCs w:val="32"/>
        </w:rPr>
        <w:t>21,306.84</w:t>
      </w:r>
      <w:r>
        <w:rPr>
          <w:rFonts w:hint="eastAsia" w:ascii="仿宋_GB2312" w:hAnsi="黑体" w:eastAsia="仿宋_GB2312" w:cs="仿宋_GB2312"/>
          <w:kern w:val="0"/>
          <w:sz w:val="32"/>
          <w:szCs w:val="32"/>
        </w:rPr>
        <w:t>万元，支出决算为</w:t>
      </w:r>
      <w:r>
        <w:rPr>
          <w:rFonts w:ascii="仿宋_GB2312" w:hAnsi="黑体" w:eastAsia="仿宋_GB2312" w:cs="仿宋_GB2312"/>
          <w:kern w:val="0"/>
          <w:sz w:val="32"/>
          <w:szCs w:val="32"/>
        </w:rPr>
        <w:t>41,762.50</w:t>
      </w:r>
      <w:r>
        <w:rPr>
          <w:rFonts w:hint="eastAsia" w:ascii="仿宋_GB2312" w:hAnsi="黑体" w:eastAsia="仿宋_GB2312" w:cs="仿宋_GB2312"/>
          <w:kern w:val="0"/>
          <w:sz w:val="32"/>
          <w:szCs w:val="32"/>
        </w:rPr>
        <w:t>万元，完成年初预算的</w:t>
      </w:r>
      <w:r>
        <w:rPr>
          <w:rFonts w:ascii="仿宋_GB2312" w:hAnsi="黑体" w:eastAsia="仿宋_GB2312" w:cs="仿宋_GB2312"/>
          <w:kern w:val="0"/>
          <w:sz w:val="32"/>
          <w:szCs w:val="32"/>
        </w:rPr>
        <w:t>196.01</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（一）</w:t>
      </w:r>
      <w:r>
        <w:rPr>
          <w:rFonts w:hint="eastAsia" w:ascii="仿宋_GB2312" w:eastAsia="仿宋_GB2312" w:cs="仿宋_GB2312"/>
          <w:kern w:val="0"/>
          <w:sz w:val="32"/>
          <w:szCs w:val="32"/>
        </w:rPr>
        <w:t>一般公共服务支出（类）</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0</w:t>
      </w:r>
      <w:r>
        <w:rPr>
          <w:rFonts w:hint="eastAsia" w:ascii="仿宋_GB2312" w:hAnsi="黑体" w:eastAsia="仿宋_GB2312" w:cs="仿宋_GB2312"/>
          <w:kern w:val="0"/>
          <w:sz w:val="32"/>
          <w:szCs w:val="32"/>
        </w:rPr>
        <w:t>万元，支出决算为</w:t>
      </w:r>
      <w:r>
        <w:rPr>
          <w:rFonts w:ascii="仿宋_GB2312" w:hAnsi="黑体" w:eastAsia="仿宋_GB2312" w:cs="仿宋_GB2312"/>
          <w:kern w:val="0"/>
          <w:sz w:val="32"/>
          <w:szCs w:val="32"/>
        </w:rPr>
        <w:t>68.06</w:t>
      </w:r>
      <w:r>
        <w:rPr>
          <w:rFonts w:hint="eastAsia" w:ascii="仿宋_GB2312" w:hAnsi="黑体" w:eastAsia="仿宋_GB2312" w:cs="仿宋_GB2312"/>
          <w:kern w:val="0"/>
          <w:sz w:val="32"/>
          <w:szCs w:val="32"/>
        </w:rPr>
        <w:t>万元，主要原因为有部分专项经费在追加下达。</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（二）教育支出（类）年初预算为</w:t>
      </w:r>
      <w:r>
        <w:rPr>
          <w:rFonts w:ascii="仿宋_GB2312" w:eastAsia="仿宋_GB2312" w:cs="仿宋_GB2312"/>
          <w:kern w:val="0"/>
          <w:sz w:val="32"/>
          <w:szCs w:val="32"/>
        </w:rPr>
        <w:t>24,767.95</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39,039.85</w:t>
      </w:r>
      <w:r>
        <w:rPr>
          <w:rFonts w:hint="eastAsia" w:ascii="仿宋_GB2312" w:eastAsia="仿宋_GB2312" w:cs="仿宋_GB2312"/>
          <w:kern w:val="0"/>
          <w:sz w:val="32"/>
          <w:szCs w:val="32"/>
        </w:rPr>
        <w:t>万元，完成年初预算的1</w:t>
      </w:r>
      <w:r>
        <w:rPr>
          <w:rFonts w:ascii="仿宋_GB2312" w:eastAsia="仿宋_GB2312" w:cs="仿宋_GB2312"/>
          <w:kern w:val="0"/>
          <w:sz w:val="32"/>
          <w:szCs w:val="32"/>
        </w:rPr>
        <w:t>57.62</w:t>
      </w:r>
      <w:r>
        <w:rPr>
          <w:rFonts w:hint="eastAsia" w:ascii="仿宋_GB2312" w:eastAsia="仿宋_GB2312" w:cs="仿宋_GB2312"/>
          <w:kern w:val="0"/>
          <w:sz w:val="32"/>
          <w:szCs w:val="32"/>
        </w:rPr>
        <w:t>%。主要原因为有相当部分专项经费在年中追加下达。</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（三）科学技术支出（类）年初预算为0万元，支出决算为</w:t>
      </w:r>
      <w:r>
        <w:rPr>
          <w:rFonts w:ascii="仿宋_GB2312" w:eastAsia="仿宋_GB2312" w:cs="仿宋_GB2312"/>
          <w:kern w:val="0"/>
          <w:sz w:val="32"/>
          <w:szCs w:val="32"/>
        </w:rPr>
        <w:t>396.53</w:t>
      </w:r>
      <w:r>
        <w:rPr>
          <w:rFonts w:hint="eastAsia" w:ascii="仿宋_GB2312" w:eastAsia="仿宋_GB2312" w:cs="仿宋_GB2312"/>
          <w:kern w:val="0"/>
          <w:sz w:val="32"/>
          <w:szCs w:val="32"/>
        </w:rPr>
        <w:t>万元。主要原因为专项经费在年中追加下达。</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（四）文化体育与传媒支出（类）年初预算为</w:t>
      </w:r>
      <w:r>
        <w:rPr>
          <w:rFonts w:ascii="仿宋_GB2312" w:eastAsia="仿宋_GB2312" w:cs="仿宋_GB2312"/>
          <w:kern w:val="0"/>
          <w:sz w:val="32"/>
          <w:szCs w:val="32"/>
        </w:rPr>
        <w:t>7</w:t>
      </w:r>
      <w:r>
        <w:rPr>
          <w:rFonts w:hint="eastAsia" w:ascii="仿宋_GB2312" w:eastAsia="仿宋_GB2312" w:cs="仿宋_GB2312"/>
          <w:kern w:val="0"/>
          <w:sz w:val="32"/>
          <w:szCs w:val="32"/>
        </w:rPr>
        <w:t>5万元，支出决算为</w:t>
      </w:r>
      <w:r>
        <w:rPr>
          <w:rFonts w:ascii="仿宋_GB2312" w:eastAsia="仿宋_GB2312" w:cs="仿宋_GB2312"/>
          <w:kern w:val="0"/>
          <w:sz w:val="32"/>
          <w:szCs w:val="32"/>
        </w:rPr>
        <w:t>7</w:t>
      </w:r>
      <w:r>
        <w:rPr>
          <w:rFonts w:hint="eastAsia" w:ascii="仿宋_GB2312" w:eastAsia="仿宋_GB2312" w:cs="仿宋_GB2312"/>
          <w:kern w:val="0"/>
          <w:sz w:val="32"/>
          <w:szCs w:val="32"/>
        </w:rPr>
        <w:t>5万元，完成年初预算的100%。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（五）社会保障和就业支出（类）年初预算为</w:t>
      </w:r>
      <w:r>
        <w:rPr>
          <w:rFonts w:ascii="仿宋_GB2312" w:eastAsia="仿宋_GB2312" w:cs="仿宋_GB2312"/>
          <w:kern w:val="0"/>
          <w:sz w:val="32"/>
          <w:szCs w:val="32"/>
        </w:rPr>
        <w:t>866.04</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1,058.40</w:t>
      </w:r>
      <w:r>
        <w:rPr>
          <w:rFonts w:hint="eastAsia" w:ascii="仿宋_GB2312" w:eastAsia="仿宋_GB2312" w:cs="仿宋_GB2312"/>
          <w:kern w:val="0"/>
          <w:sz w:val="32"/>
          <w:szCs w:val="32"/>
        </w:rPr>
        <w:t>万元，完成年初预算的</w:t>
      </w:r>
      <w:r>
        <w:rPr>
          <w:rFonts w:ascii="仿宋_GB2312" w:eastAsia="仿宋_GB2312" w:cs="仿宋_GB2312"/>
          <w:kern w:val="0"/>
          <w:sz w:val="32"/>
          <w:szCs w:val="32"/>
        </w:rPr>
        <w:t>122.21</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（六）卫生健康支出（类）年初预算为</w:t>
      </w:r>
      <w:r>
        <w:rPr>
          <w:rFonts w:ascii="仿宋_GB2312" w:eastAsia="仿宋_GB2312" w:cs="仿宋_GB2312"/>
          <w:kern w:val="0"/>
          <w:sz w:val="32"/>
          <w:szCs w:val="32"/>
        </w:rPr>
        <w:t>414.80</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414.80</w:t>
      </w:r>
      <w:r>
        <w:rPr>
          <w:rFonts w:hint="eastAsia" w:ascii="仿宋_GB2312" w:eastAsia="仿宋_GB2312" w:cs="仿宋_GB2312"/>
          <w:kern w:val="0"/>
          <w:sz w:val="32"/>
          <w:szCs w:val="32"/>
        </w:rPr>
        <w:t>万元，完成年初预算的100%。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（七）住房保障支出（类）年初预算为</w:t>
      </w:r>
      <w:r>
        <w:rPr>
          <w:rFonts w:ascii="仿宋_GB2312" w:eastAsia="仿宋_GB2312" w:cs="仿宋_GB2312"/>
          <w:kern w:val="0"/>
          <w:sz w:val="32"/>
          <w:szCs w:val="32"/>
        </w:rPr>
        <w:t>709.86</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709.86</w:t>
      </w:r>
      <w:r>
        <w:rPr>
          <w:rFonts w:hint="eastAsia" w:ascii="仿宋_GB2312" w:eastAsia="仿宋_GB2312" w:cs="仿宋_GB2312"/>
          <w:kern w:val="0"/>
          <w:sz w:val="32"/>
          <w:szCs w:val="32"/>
        </w:rPr>
        <w:t>万元，完成年初预算的100%。</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w:t>
      </w:r>
      <w:r>
        <w:rPr>
          <w:rFonts w:ascii="黑体" w:hAnsi="黑体" w:eastAsia="黑体" w:cs="仿宋_GB2312"/>
          <w:kern w:val="0"/>
          <w:sz w:val="32"/>
          <w:szCs w:val="32"/>
        </w:rPr>
        <w:t>20</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20</w:t>
      </w:r>
      <w:r>
        <w:rPr>
          <w:rFonts w:ascii="仿宋_GB2312" w:eastAsia="仿宋_GB2312" w:cs="仿宋_GB2312"/>
          <w:kern w:val="0"/>
          <w:sz w:val="32"/>
          <w:szCs w:val="32"/>
        </w:rPr>
        <w:t>20</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ascii="仿宋_GB2312" w:eastAsia="仿宋_GB2312" w:cs="仿宋_GB2312"/>
          <w:kern w:val="0"/>
          <w:sz w:val="32"/>
          <w:szCs w:val="32"/>
        </w:rPr>
        <w:t>11,929.28</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（一）工资福利支出</w:t>
      </w:r>
      <w:r>
        <w:rPr>
          <w:rFonts w:ascii="仿宋_GB2312" w:eastAsia="仿宋_GB2312"/>
          <w:bCs/>
          <w:kern w:val="0"/>
          <w:sz w:val="32"/>
          <w:szCs w:val="32"/>
        </w:rPr>
        <w:t>8,713.55</w:t>
      </w:r>
      <w:r>
        <w:rPr>
          <w:rFonts w:hint="eastAsia" w:ascii="仿宋_GB2312" w:eastAsia="仿宋_GB2312"/>
          <w:bCs/>
          <w:kern w:val="0"/>
          <w:sz w:val="32"/>
          <w:szCs w:val="32"/>
        </w:rPr>
        <w:t>万元，完成年初预算的</w:t>
      </w:r>
      <w:r>
        <w:rPr>
          <w:rFonts w:ascii="仿宋_GB2312" w:eastAsia="仿宋_GB2312"/>
          <w:bCs/>
          <w:kern w:val="0"/>
          <w:sz w:val="32"/>
          <w:szCs w:val="32"/>
        </w:rPr>
        <w:t>100</w:t>
      </w:r>
      <w:r>
        <w:rPr>
          <w:rFonts w:hint="eastAsia" w:ascii="仿宋_GB2312" w:eastAsia="仿宋_GB2312"/>
          <w:bCs/>
          <w:kern w:val="0"/>
          <w:sz w:val="32"/>
          <w:szCs w:val="32"/>
        </w:rPr>
        <w:t>%。</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（二）商品和服务支出</w:t>
      </w:r>
      <w:r>
        <w:rPr>
          <w:rFonts w:ascii="仿宋_GB2312" w:eastAsia="仿宋_GB2312"/>
          <w:bCs/>
          <w:kern w:val="0"/>
          <w:sz w:val="32"/>
          <w:szCs w:val="32"/>
        </w:rPr>
        <w:t>2,056.56</w:t>
      </w:r>
      <w:r>
        <w:rPr>
          <w:rFonts w:hint="eastAsia" w:ascii="仿宋_GB2312" w:eastAsia="仿宋_GB2312"/>
          <w:bCs/>
          <w:kern w:val="0"/>
          <w:sz w:val="32"/>
          <w:szCs w:val="32"/>
        </w:rPr>
        <w:t xml:space="preserve">万元，完成年初预算的 </w:t>
      </w:r>
      <w:r>
        <w:rPr>
          <w:rFonts w:ascii="仿宋_GB2312" w:eastAsia="仿宋_GB2312"/>
          <w:bCs/>
          <w:kern w:val="0"/>
          <w:sz w:val="32"/>
          <w:szCs w:val="32"/>
        </w:rPr>
        <w:t>100</w:t>
      </w:r>
      <w:r>
        <w:rPr>
          <w:rFonts w:hint="eastAsia" w:ascii="仿宋_GB2312" w:eastAsia="仿宋_GB2312"/>
          <w:bCs/>
          <w:kern w:val="0"/>
          <w:sz w:val="32"/>
          <w:szCs w:val="32"/>
        </w:rPr>
        <w:t>%。</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仿宋_GB2312" w:eastAsia="仿宋_GB2312"/>
          <w:bCs/>
          <w:kern w:val="0"/>
          <w:sz w:val="32"/>
          <w:szCs w:val="32"/>
        </w:rPr>
        <w:t>（三）对个人和家庭补助支出</w:t>
      </w:r>
      <w:r>
        <w:rPr>
          <w:rFonts w:ascii="仿宋_GB2312" w:eastAsia="仿宋_GB2312"/>
          <w:bCs/>
          <w:kern w:val="0"/>
          <w:sz w:val="32"/>
          <w:szCs w:val="32"/>
        </w:rPr>
        <w:t>1,159.16</w:t>
      </w:r>
      <w:r>
        <w:rPr>
          <w:rFonts w:hint="eastAsia" w:ascii="仿宋_GB2312" w:eastAsia="仿宋_GB2312"/>
          <w:bCs/>
          <w:kern w:val="0"/>
          <w:sz w:val="32"/>
          <w:szCs w:val="32"/>
        </w:rPr>
        <w:t>万元，完成年初预算的100%。</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w:t>
      </w:r>
      <w:r>
        <w:rPr>
          <w:rFonts w:ascii="黑体" w:hAnsi="黑体" w:eastAsia="黑体" w:cs="仿宋_GB2312"/>
          <w:kern w:val="0"/>
          <w:sz w:val="32"/>
          <w:szCs w:val="32"/>
        </w:rPr>
        <w:t>20</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hAnsi="黑体" w:eastAsia="仿宋_GB2312"/>
          <w:bCs/>
          <w:color w:val="auto"/>
          <w:sz w:val="32"/>
          <w:szCs w:val="32"/>
          <w:u w:val="single"/>
        </w:rPr>
        <w:t xml:space="preserve">  南宁师范大学  </w:t>
      </w:r>
      <w:r>
        <w:rPr>
          <w:rFonts w:hint="eastAsia" w:ascii="仿宋_GB2312" w:eastAsia="仿宋_GB2312"/>
          <w:color w:val="auto"/>
          <w:kern w:val="0"/>
          <w:sz w:val="32"/>
          <w:szCs w:val="32"/>
        </w:rPr>
        <w:t>20</w:t>
      </w:r>
      <w:r>
        <w:rPr>
          <w:rFonts w:ascii="仿宋_GB2312" w:eastAsia="仿宋_GB2312"/>
          <w:color w:val="auto"/>
          <w:kern w:val="0"/>
          <w:sz w:val="32"/>
          <w:szCs w:val="32"/>
        </w:rPr>
        <w:t>20</w:t>
      </w:r>
      <w:r>
        <w:rPr>
          <w:rFonts w:hint="eastAsia" w:ascii="仿宋_GB2312" w:eastAsia="仿宋_GB2312" w:cs="仿宋_GB2312"/>
          <w:color w:val="auto"/>
          <w:kern w:val="0"/>
          <w:sz w:val="32"/>
          <w:szCs w:val="32"/>
        </w:rPr>
        <w:t>年度政府性基金支出</w:t>
      </w:r>
      <w:r>
        <w:rPr>
          <w:rFonts w:ascii="仿宋_GB2312" w:eastAsia="仿宋_GB2312" w:cs="仿宋_GB2312"/>
          <w:color w:val="auto"/>
          <w:kern w:val="0"/>
          <w:sz w:val="32"/>
          <w:szCs w:val="32"/>
        </w:rPr>
        <w:t>42</w:t>
      </w:r>
      <w:r>
        <w:rPr>
          <w:rFonts w:hint="eastAsia" w:ascii="仿宋_GB2312" w:eastAsia="仿宋_GB2312" w:cs="仿宋_GB2312"/>
          <w:color w:val="auto"/>
          <w:kern w:val="0"/>
          <w:sz w:val="32"/>
          <w:szCs w:val="32"/>
        </w:rPr>
        <w:t>,</w:t>
      </w:r>
      <w:r>
        <w:rPr>
          <w:rFonts w:ascii="仿宋_GB2312" w:eastAsia="仿宋_GB2312" w:cs="仿宋_GB2312"/>
          <w:color w:val="auto"/>
          <w:kern w:val="0"/>
          <w:sz w:val="32"/>
          <w:szCs w:val="32"/>
        </w:rPr>
        <w:t>653.07</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较201</w:t>
      </w:r>
      <w:r>
        <w:rPr>
          <w:rFonts w:ascii="仿宋_GB2312" w:hAnsi="黑体" w:eastAsia="仿宋_GB2312" w:cs="仿宋_GB2312"/>
          <w:color w:val="auto"/>
          <w:kern w:val="0"/>
          <w:sz w:val="32"/>
          <w:szCs w:val="32"/>
        </w:rPr>
        <w:t>9</w:t>
      </w:r>
      <w:r>
        <w:rPr>
          <w:rFonts w:hint="eastAsia" w:ascii="仿宋_GB2312" w:hAnsi="黑体" w:eastAsia="仿宋_GB2312" w:cs="仿宋_GB2312"/>
          <w:color w:val="auto"/>
          <w:kern w:val="0"/>
          <w:sz w:val="32"/>
          <w:szCs w:val="32"/>
        </w:rPr>
        <w:t>年度决算数减少</w:t>
      </w:r>
      <w:r>
        <w:rPr>
          <w:rFonts w:ascii="仿宋_GB2312" w:hAnsi="黑体" w:eastAsia="仿宋_GB2312" w:cs="仿宋_GB2312"/>
          <w:color w:val="auto"/>
          <w:kern w:val="0"/>
          <w:sz w:val="32"/>
          <w:szCs w:val="32"/>
        </w:rPr>
        <w:t>11,871.52</w:t>
      </w:r>
      <w:r>
        <w:rPr>
          <w:rFonts w:hint="eastAsia" w:ascii="仿宋_GB2312" w:hAnsi="黑体" w:eastAsia="仿宋_GB2312" w:cs="仿宋_GB2312"/>
          <w:color w:val="auto"/>
          <w:kern w:val="0"/>
          <w:sz w:val="32"/>
          <w:szCs w:val="32"/>
        </w:rPr>
        <w:t>万元，下降2</w:t>
      </w:r>
      <w:r>
        <w:rPr>
          <w:rFonts w:ascii="仿宋_GB2312" w:hAnsi="黑体" w:eastAsia="仿宋_GB2312" w:cs="仿宋_GB2312"/>
          <w:color w:val="auto"/>
          <w:kern w:val="0"/>
          <w:sz w:val="32"/>
          <w:szCs w:val="32"/>
        </w:rPr>
        <w:t>1.77</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eastAsia="zh-CN"/>
        </w:rPr>
        <w:t>下降的主要原因为</w:t>
      </w:r>
      <w:r>
        <w:rPr>
          <w:rFonts w:hint="eastAsia" w:ascii="仿宋_GB2312" w:hAnsi="黑体" w:eastAsia="仿宋_GB2312" w:cs="仿宋_GB2312"/>
          <w:color w:val="auto"/>
          <w:kern w:val="0"/>
          <w:sz w:val="32"/>
          <w:szCs w:val="32"/>
          <w:lang w:val="en-US" w:eastAsia="zh-CN"/>
        </w:rPr>
        <w:t>2020年获得的政府债券资金比上年有所减少，政府性基金列入资本性支出比上年减少。</w:t>
      </w:r>
      <w:r>
        <w:rPr>
          <w:rFonts w:hint="eastAsia" w:ascii="仿宋_GB2312" w:eastAsia="仿宋_GB2312" w:cs="仿宋_GB2312"/>
          <w:color w:val="auto"/>
          <w:kern w:val="0"/>
          <w:sz w:val="32"/>
          <w:szCs w:val="32"/>
        </w:rPr>
        <w:t>其中：基本支出</w:t>
      </w:r>
      <w:r>
        <w:rPr>
          <w:rFonts w:ascii="仿宋_GB2312" w:eastAsia="仿宋_GB2312"/>
          <w:color w:val="auto"/>
          <w:kern w:val="0"/>
          <w:sz w:val="32"/>
          <w:szCs w:val="32"/>
        </w:rPr>
        <w:t>0</w:t>
      </w:r>
      <w:r>
        <w:rPr>
          <w:rFonts w:hint="eastAsia" w:ascii="仿宋_GB2312" w:eastAsia="仿宋_GB2312" w:cs="仿宋_GB2312"/>
          <w:color w:val="auto"/>
          <w:kern w:val="0"/>
          <w:sz w:val="32"/>
          <w:szCs w:val="32"/>
        </w:rPr>
        <w:t>万元，项目支出</w:t>
      </w:r>
      <w:r>
        <w:rPr>
          <w:rFonts w:ascii="仿宋_GB2312" w:eastAsia="仿宋_GB2312"/>
          <w:color w:val="auto"/>
          <w:kern w:val="0"/>
          <w:sz w:val="32"/>
          <w:szCs w:val="32"/>
        </w:rPr>
        <w:t>42,653.07</w:t>
      </w:r>
      <w:r>
        <w:rPr>
          <w:rFonts w:hint="eastAsia" w:ascii="仿宋_GB2312" w:eastAsia="仿宋_GB2312" w:cs="仿宋_GB2312"/>
          <w:color w:val="auto"/>
          <w:kern w:val="0"/>
          <w:sz w:val="32"/>
          <w:szCs w:val="32"/>
        </w:rPr>
        <w:t>万元。</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hAnsi="黑体" w:eastAsia="仿宋_GB2312"/>
          <w:bCs/>
          <w:color w:val="auto"/>
          <w:sz w:val="32"/>
          <w:szCs w:val="32"/>
          <w:u w:val="single"/>
        </w:rPr>
        <w:t xml:space="preserve">  南宁师范大学  </w:t>
      </w:r>
      <w:r>
        <w:rPr>
          <w:rFonts w:hint="eastAsia" w:ascii="仿宋_GB2312" w:hAnsi="黑体" w:eastAsia="仿宋_GB2312"/>
          <w:color w:val="auto"/>
          <w:kern w:val="0"/>
          <w:sz w:val="32"/>
          <w:szCs w:val="32"/>
        </w:rPr>
        <w:t>20</w:t>
      </w:r>
      <w:r>
        <w:rPr>
          <w:rFonts w:ascii="仿宋_GB2312" w:hAnsi="黑体" w:eastAsia="仿宋_GB2312"/>
          <w:color w:val="auto"/>
          <w:kern w:val="0"/>
          <w:sz w:val="32"/>
          <w:szCs w:val="32"/>
        </w:rPr>
        <w:t>20</w:t>
      </w:r>
      <w:r>
        <w:rPr>
          <w:rFonts w:hint="eastAsia" w:ascii="仿宋_GB2312" w:hAnsi="黑体" w:eastAsia="仿宋_GB2312" w:cs="仿宋_GB2312"/>
          <w:color w:val="auto"/>
          <w:kern w:val="0"/>
          <w:sz w:val="32"/>
          <w:szCs w:val="32"/>
        </w:rPr>
        <w:t>年度政府性基金支出年初预算为</w:t>
      </w:r>
      <w:r>
        <w:rPr>
          <w:rFonts w:ascii="仿宋_GB2312" w:hAnsi="黑体" w:eastAsia="仿宋_GB2312" w:cs="仿宋_GB2312"/>
          <w:color w:val="auto"/>
          <w:kern w:val="0"/>
          <w:sz w:val="32"/>
          <w:szCs w:val="32"/>
        </w:rPr>
        <w:t>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eastAsia="zh-CN"/>
        </w:rPr>
        <w:t>年中追加</w:t>
      </w:r>
      <w:r>
        <w:rPr>
          <w:rFonts w:hint="eastAsia" w:ascii="仿宋_GB2312" w:hAnsi="黑体" w:eastAsia="仿宋_GB2312" w:cs="仿宋_GB2312"/>
          <w:color w:val="auto"/>
          <w:kern w:val="0"/>
          <w:sz w:val="32"/>
          <w:szCs w:val="32"/>
          <w:lang w:val="en-US" w:eastAsia="zh-CN"/>
        </w:rPr>
        <w:t>40,000万元，</w:t>
      </w:r>
      <w:r>
        <w:rPr>
          <w:rFonts w:hint="eastAsia" w:ascii="仿宋_GB2312" w:hAnsi="黑体" w:eastAsia="仿宋_GB2312" w:cs="仿宋_GB2312"/>
          <w:color w:val="auto"/>
          <w:kern w:val="0"/>
          <w:sz w:val="32"/>
          <w:szCs w:val="32"/>
        </w:rPr>
        <w:t>支出决算为</w:t>
      </w:r>
      <w:r>
        <w:rPr>
          <w:rFonts w:ascii="仿宋_GB2312" w:eastAsia="仿宋_GB2312"/>
          <w:color w:val="auto"/>
          <w:kern w:val="0"/>
          <w:sz w:val="32"/>
          <w:szCs w:val="32"/>
        </w:rPr>
        <w:t>42,653.07</w:t>
      </w:r>
      <w:r>
        <w:rPr>
          <w:rFonts w:hint="eastAsia" w:ascii="仿宋_GB2312" w:hAnsi="黑体" w:eastAsia="仿宋_GB2312" w:cs="仿宋_GB2312"/>
          <w:color w:val="auto"/>
          <w:kern w:val="0"/>
          <w:sz w:val="32"/>
          <w:szCs w:val="32"/>
        </w:rPr>
        <w:t>万元，</w:t>
      </w:r>
    </w:p>
    <w:p>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其他支出</w:t>
      </w:r>
      <w:r>
        <w:rPr>
          <w:rFonts w:hint="eastAsia" w:ascii="仿宋_GB2312" w:hAnsi="黑体" w:eastAsia="仿宋_GB2312" w:cs="仿宋_GB2312"/>
          <w:color w:val="auto"/>
          <w:kern w:val="0"/>
          <w:sz w:val="32"/>
          <w:szCs w:val="32"/>
        </w:rPr>
        <w:t>年初预算为</w:t>
      </w:r>
      <w:r>
        <w:rPr>
          <w:rFonts w:ascii="仿宋_GB2312" w:hAnsi="黑体" w:eastAsia="仿宋_GB2312" w:cs="仿宋_GB2312"/>
          <w:color w:val="auto"/>
          <w:kern w:val="0"/>
          <w:sz w:val="32"/>
          <w:szCs w:val="32"/>
        </w:rPr>
        <w:t>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eastAsia="zh-CN"/>
        </w:rPr>
        <w:t>年中追加</w:t>
      </w:r>
      <w:r>
        <w:rPr>
          <w:rFonts w:hint="eastAsia" w:ascii="仿宋_GB2312" w:hAnsi="黑体" w:eastAsia="仿宋_GB2312" w:cs="仿宋_GB2312"/>
          <w:color w:val="auto"/>
          <w:kern w:val="0"/>
          <w:sz w:val="32"/>
          <w:szCs w:val="32"/>
          <w:lang w:val="en-US" w:eastAsia="zh-CN"/>
        </w:rPr>
        <w:t>40,000万元，</w:t>
      </w:r>
      <w:r>
        <w:rPr>
          <w:rFonts w:hint="eastAsia" w:ascii="仿宋_GB2312" w:hAnsi="黑体" w:eastAsia="仿宋_GB2312" w:cs="仿宋_GB2312"/>
          <w:color w:val="auto"/>
          <w:kern w:val="0"/>
          <w:sz w:val="32"/>
          <w:szCs w:val="32"/>
        </w:rPr>
        <w:t>支出决算为</w:t>
      </w:r>
      <w:r>
        <w:rPr>
          <w:rFonts w:ascii="仿宋_GB2312" w:eastAsia="仿宋_GB2312"/>
          <w:color w:val="auto"/>
          <w:kern w:val="0"/>
          <w:sz w:val="32"/>
          <w:szCs w:val="32"/>
        </w:rPr>
        <w:t>42,653.07</w:t>
      </w:r>
      <w:r>
        <w:rPr>
          <w:rFonts w:hint="eastAsia" w:ascii="仿宋_GB2312" w:hAnsi="黑体" w:eastAsia="仿宋_GB2312" w:cs="仿宋_GB2312"/>
          <w:color w:val="auto"/>
          <w:kern w:val="0"/>
          <w:sz w:val="32"/>
          <w:szCs w:val="32"/>
        </w:rPr>
        <w:t>万元，</w:t>
      </w:r>
      <w:r>
        <w:rPr>
          <w:rFonts w:hint="eastAsia" w:ascii="仿宋_GB2312" w:eastAsia="仿宋_GB2312" w:cs="仿宋_GB2312"/>
          <w:color w:val="auto"/>
          <w:kern w:val="0"/>
          <w:sz w:val="32"/>
          <w:szCs w:val="32"/>
        </w:rPr>
        <w:t>主要用于我校武鸣校区的其他政府性基金及对应专项债务收入安排的支出。</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五、2020年度国有资本经营预算支出决算情况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eastAsia="仿宋_GB2312"/>
          <w:kern w:val="0"/>
          <w:sz w:val="32"/>
          <w:szCs w:val="32"/>
        </w:rPr>
        <w:t>2020</w:t>
      </w:r>
      <w:r>
        <w:rPr>
          <w:rFonts w:hint="eastAsia" w:ascii="仿宋_GB2312" w:eastAsia="仿宋_GB2312" w:cs="仿宋_GB2312"/>
          <w:kern w:val="0"/>
          <w:sz w:val="32"/>
          <w:szCs w:val="32"/>
        </w:rPr>
        <w:t>年度国有资本经营预算支出0万元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ascii="仿宋_GB2312" w:eastAsia="仿宋_GB2312"/>
          <w:kern w:val="0"/>
          <w:sz w:val="32"/>
          <w:szCs w:val="32"/>
        </w:rPr>
        <w:t>0</w:t>
      </w:r>
      <w:r>
        <w:rPr>
          <w:rFonts w:hint="eastAsia" w:ascii="仿宋_GB2312" w:eastAsia="仿宋_GB2312" w:cs="仿宋_GB2312"/>
          <w:kern w:val="0"/>
          <w:sz w:val="32"/>
          <w:szCs w:val="32"/>
        </w:rPr>
        <w:t>万元，项目支出0万元。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hAnsi="黑体" w:eastAsia="仿宋_GB2312"/>
          <w:kern w:val="0"/>
          <w:sz w:val="32"/>
          <w:szCs w:val="32"/>
        </w:rPr>
        <w:t>2020</w:t>
      </w:r>
      <w:r>
        <w:rPr>
          <w:rFonts w:hint="eastAsia" w:ascii="仿宋_GB2312" w:hAnsi="黑体" w:eastAsia="仿宋_GB2312" w:cs="仿宋_GB2312"/>
          <w:kern w:val="0"/>
          <w:sz w:val="32"/>
          <w:szCs w:val="32"/>
        </w:rPr>
        <w:t>年度</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rPr>
        <w:t>支出年初预算为0万元，支出决算为0万元，与年初预算一致。</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20</w:t>
      </w:r>
      <w:r>
        <w:rPr>
          <w:rFonts w:ascii="仿宋_GB2312" w:eastAsia="仿宋_GB2312" w:cs="仿宋_GB2312"/>
          <w:kern w:val="0"/>
          <w:sz w:val="32"/>
          <w:szCs w:val="32"/>
        </w:rPr>
        <w:t>20</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公共预算财政拨款安排的“三公”经费支出0万元，与上年一致。其中，因公出国（境）费支出决算</w:t>
      </w:r>
      <w:r>
        <w:rPr>
          <w:rFonts w:ascii="仿宋_GB2312" w:eastAsia="仿宋_GB2312" w:cs="仿宋_GB2312"/>
          <w:kern w:val="0"/>
          <w:sz w:val="32"/>
          <w:szCs w:val="32"/>
        </w:rPr>
        <w:t>0</w:t>
      </w:r>
      <w:r>
        <w:rPr>
          <w:rFonts w:hint="eastAsia" w:ascii="仿宋_GB2312" w:eastAsia="仿宋_GB2312" w:cs="仿宋_GB2312"/>
          <w:kern w:val="0"/>
          <w:sz w:val="32"/>
          <w:szCs w:val="32"/>
        </w:rPr>
        <w:t>万元；公务用车购置及运行费支出决算</w:t>
      </w:r>
      <w:r>
        <w:rPr>
          <w:rFonts w:ascii="仿宋_GB2312" w:eastAsia="仿宋_GB2312" w:cs="仿宋_GB2312"/>
          <w:kern w:val="0"/>
          <w:sz w:val="32"/>
          <w:szCs w:val="32"/>
        </w:rPr>
        <w:t>0</w:t>
      </w:r>
      <w:r>
        <w:rPr>
          <w:rFonts w:hint="eastAsia" w:ascii="仿宋_GB2312" w:eastAsia="仿宋_GB2312" w:cs="仿宋_GB2312"/>
          <w:kern w:val="0"/>
          <w:sz w:val="32"/>
          <w:szCs w:val="32"/>
        </w:rPr>
        <w:t>万元；公务接待费支出决算</w:t>
      </w:r>
      <w:r>
        <w:rPr>
          <w:rFonts w:ascii="仿宋_GB2312" w:eastAsia="仿宋_GB2312" w:cs="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六、其他重要事项情况说明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w:t>
      </w:r>
      <w:r>
        <w:rPr>
          <w:rFonts w:hint="eastAsia" w:ascii="仿宋_GB2312" w:eastAsia="仿宋_GB2312" w:cs="仿宋_GB2312"/>
          <w:b/>
          <w:kern w:val="0"/>
          <w:sz w:val="32"/>
          <w:szCs w:val="32"/>
          <w:lang w:eastAsia="zh-CN"/>
        </w:rPr>
        <w:t>我校</w:t>
      </w:r>
      <w:r>
        <w:rPr>
          <w:rFonts w:hint="eastAsia" w:ascii="仿宋_GB2312" w:eastAsia="仿宋_GB2312" w:cs="仿宋_GB2312"/>
          <w:b/>
          <w:kern w:val="0"/>
          <w:sz w:val="32"/>
          <w:szCs w:val="32"/>
        </w:rPr>
        <w:t>无机关运行经费支出”</w:t>
      </w:r>
      <w:r>
        <w:rPr>
          <w:rFonts w:ascii="仿宋_GB2312" w:eastAsia="仿宋_GB2312" w:cs="仿宋_GB2312"/>
          <w:b/>
          <w:kern w:val="0"/>
          <w:sz w:val="32"/>
          <w:szCs w:val="32"/>
        </w:rPr>
        <w:t xml:space="preserve">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20</w:t>
      </w:r>
      <w:r>
        <w:rPr>
          <w:rFonts w:ascii="仿宋_GB2312" w:eastAsia="仿宋_GB2312" w:cs="仿宋_GB2312"/>
          <w:kern w:val="0"/>
          <w:sz w:val="32"/>
          <w:szCs w:val="32"/>
        </w:rPr>
        <w:t>20</w:t>
      </w:r>
      <w:r>
        <w:rPr>
          <w:rFonts w:hint="eastAsia" w:ascii="仿宋_GB2312" w:eastAsia="仿宋_GB2312" w:cs="仿宋_GB2312"/>
          <w:kern w:val="0"/>
          <w:sz w:val="32"/>
          <w:szCs w:val="32"/>
        </w:rPr>
        <w:t>年本部门政府采购支出总额</w:t>
      </w:r>
      <w:r>
        <w:rPr>
          <w:rFonts w:ascii="仿宋_GB2312" w:eastAsia="仿宋_GB2312" w:cs="仿宋_GB2312"/>
          <w:kern w:val="0"/>
          <w:sz w:val="32"/>
          <w:szCs w:val="32"/>
        </w:rPr>
        <w:t>15,723.03</w:t>
      </w:r>
      <w:r>
        <w:rPr>
          <w:rFonts w:hint="eastAsia" w:ascii="仿宋_GB2312" w:eastAsia="仿宋_GB2312" w:cs="仿宋_GB2312"/>
          <w:kern w:val="0"/>
          <w:sz w:val="32"/>
          <w:szCs w:val="32"/>
        </w:rPr>
        <w:t>万元，其中：政府采购货物支出</w:t>
      </w:r>
      <w:r>
        <w:rPr>
          <w:rFonts w:ascii="仿宋_GB2312" w:eastAsia="仿宋_GB2312" w:cs="仿宋_GB2312"/>
          <w:kern w:val="0"/>
          <w:sz w:val="32"/>
          <w:szCs w:val="32"/>
        </w:rPr>
        <w:t>13,726.36</w:t>
      </w:r>
      <w:r>
        <w:rPr>
          <w:rFonts w:hint="eastAsia" w:ascii="仿宋_GB2312" w:eastAsia="仿宋_GB2312" w:cs="仿宋_GB2312"/>
          <w:kern w:val="0"/>
          <w:sz w:val="32"/>
          <w:szCs w:val="32"/>
        </w:rPr>
        <w:t>万元、政府采购工程支出1</w:t>
      </w:r>
      <w:r>
        <w:rPr>
          <w:rFonts w:ascii="仿宋_GB2312" w:eastAsia="仿宋_GB2312" w:cs="仿宋_GB2312"/>
          <w:kern w:val="0"/>
          <w:sz w:val="32"/>
          <w:szCs w:val="32"/>
        </w:rPr>
        <w:t>93.88</w:t>
      </w:r>
      <w:r>
        <w:rPr>
          <w:rFonts w:hint="eastAsia" w:ascii="仿宋_GB2312" w:eastAsia="仿宋_GB2312" w:cs="仿宋_GB2312"/>
          <w:kern w:val="0"/>
          <w:sz w:val="32"/>
          <w:szCs w:val="32"/>
        </w:rPr>
        <w:t>万元、政府采购服务支出</w:t>
      </w:r>
      <w:r>
        <w:rPr>
          <w:rFonts w:ascii="仿宋_GB2312" w:eastAsia="仿宋_GB2312" w:cs="仿宋_GB2312"/>
          <w:kern w:val="0"/>
          <w:sz w:val="32"/>
          <w:szCs w:val="32"/>
        </w:rPr>
        <w:t>1,802.78</w:t>
      </w:r>
      <w:r>
        <w:rPr>
          <w:rFonts w:hint="eastAsia" w:ascii="仿宋_GB2312" w:eastAsia="仿宋_GB2312" w:cs="仿宋_GB2312"/>
          <w:kern w:val="0"/>
          <w:sz w:val="32"/>
          <w:szCs w:val="32"/>
        </w:rPr>
        <w:t>万元（口径参见部门决算F03表《机构运行信息表》中政府采购相关数据，并做好与20</w:t>
      </w:r>
      <w:r>
        <w:rPr>
          <w:rFonts w:ascii="仿宋_GB2312" w:eastAsia="仿宋_GB2312" w:cs="仿宋_GB2312"/>
          <w:kern w:val="0"/>
          <w:sz w:val="32"/>
          <w:szCs w:val="32"/>
        </w:rPr>
        <w:t>20</w:t>
      </w:r>
      <w:r>
        <w:rPr>
          <w:rFonts w:hint="eastAsia" w:ascii="仿宋_GB2312" w:eastAsia="仿宋_GB2312" w:cs="仿宋_GB2312"/>
          <w:kern w:val="0"/>
          <w:sz w:val="32"/>
          <w:szCs w:val="32"/>
        </w:rPr>
        <w:t>年度政府采购信息统计报表中“政府采购资金情况表”有关数据的衔接）。授予中小企业合同金额</w:t>
      </w:r>
      <w:r>
        <w:rPr>
          <w:rFonts w:ascii="仿宋_GB2312" w:eastAsia="仿宋_GB2312" w:cs="仿宋_GB2312"/>
          <w:kern w:val="0"/>
          <w:sz w:val="32"/>
          <w:szCs w:val="32"/>
        </w:rPr>
        <w:t>15,723.03</w:t>
      </w:r>
      <w:r>
        <w:rPr>
          <w:rFonts w:hint="eastAsia" w:ascii="仿宋_GB2312" w:eastAsia="仿宋_GB2312" w:cs="仿宋_GB2312"/>
          <w:kern w:val="0"/>
          <w:sz w:val="32"/>
          <w:szCs w:val="32"/>
        </w:rPr>
        <w:t>万元，占政府采购支出总额的1</w:t>
      </w:r>
      <w:r>
        <w:rPr>
          <w:rFonts w:ascii="仿宋_GB2312" w:eastAsia="仿宋_GB2312" w:cs="仿宋_GB2312"/>
          <w:kern w:val="0"/>
          <w:sz w:val="32"/>
          <w:szCs w:val="32"/>
        </w:rPr>
        <w:t>00</w:t>
      </w:r>
      <w:r>
        <w:rPr>
          <w:rFonts w:hint="eastAsia" w:ascii="仿宋_GB2312" w:eastAsia="仿宋_GB2312" w:cs="仿宋_GB2312"/>
          <w:kern w:val="0"/>
          <w:sz w:val="32"/>
          <w:szCs w:val="32"/>
        </w:rPr>
        <w:t>%，其中：授予小微企业合同金额</w:t>
      </w:r>
      <w:r>
        <w:rPr>
          <w:rFonts w:ascii="仿宋_GB2312" w:eastAsia="仿宋_GB2312" w:cs="仿宋_GB2312"/>
          <w:kern w:val="0"/>
          <w:sz w:val="32"/>
          <w:szCs w:val="32"/>
        </w:rPr>
        <w:t>3,884.62</w:t>
      </w:r>
      <w:r>
        <w:rPr>
          <w:rFonts w:hint="eastAsia" w:ascii="仿宋_GB2312" w:eastAsia="仿宋_GB2312" w:cs="仿宋_GB2312"/>
          <w:kern w:val="0"/>
          <w:sz w:val="32"/>
          <w:szCs w:val="32"/>
        </w:rPr>
        <w:t>万元，占政府采购支出总额的</w:t>
      </w:r>
      <w:r>
        <w:rPr>
          <w:rFonts w:ascii="仿宋_GB2312" w:eastAsia="仿宋_GB2312" w:cs="仿宋_GB2312"/>
          <w:kern w:val="0"/>
          <w:sz w:val="32"/>
          <w:szCs w:val="32"/>
        </w:rPr>
        <w:t>24</w:t>
      </w:r>
      <w:r>
        <w:rPr>
          <w:rFonts w:hint="eastAsia" w:ascii="仿宋_GB2312" w:eastAsia="仿宋_GB2312" w:cs="仿宋_GB2312"/>
          <w:kern w:val="0"/>
          <w:sz w:val="32"/>
          <w:szCs w:val="32"/>
        </w:rPr>
        <w:t>.</w:t>
      </w:r>
      <w:r>
        <w:rPr>
          <w:rFonts w:ascii="仿宋_GB2312" w:eastAsia="仿宋_GB2312" w:cs="仿宋_GB2312"/>
          <w:kern w:val="0"/>
          <w:sz w:val="32"/>
          <w:szCs w:val="32"/>
        </w:rPr>
        <w:t>71</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截至20</w:t>
      </w:r>
      <w:r>
        <w:rPr>
          <w:rFonts w:ascii="仿宋_GB2312" w:eastAsia="仿宋_GB2312" w:cs="仿宋_GB2312"/>
          <w:kern w:val="0"/>
          <w:sz w:val="32"/>
          <w:szCs w:val="32"/>
        </w:rPr>
        <w:t>20</w:t>
      </w:r>
      <w:r>
        <w:rPr>
          <w:rFonts w:hint="eastAsia" w:ascii="仿宋_GB2312" w:eastAsia="仿宋_GB2312" w:cs="仿宋_GB2312"/>
          <w:kern w:val="0"/>
          <w:sz w:val="32"/>
          <w:szCs w:val="32"/>
        </w:rPr>
        <w:t>年12月31日，本部门共有车辆</w:t>
      </w:r>
      <w:r>
        <w:rPr>
          <w:rFonts w:ascii="仿宋_GB2312" w:eastAsia="仿宋_GB2312" w:cs="仿宋_GB2312"/>
          <w:kern w:val="0"/>
          <w:sz w:val="32"/>
          <w:szCs w:val="32"/>
        </w:rPr>
        <w:t>16</w:t>
      </w:r>
      <w:r>
        <w:rPr>
          <w:rFonts w:hint="eastAsia" w:ascii="仿宋_GB2312" w:eastAsia="仿宋_GB2312" w:cs="仿宋_GB2312"/>
          <w:kern w:val="0"/>
          <w:sz w:val="32"/>
          <w:szCs w:val="32"/>
        </w:rPr>
        <w:t>辆，其中，副部（省）级领导干部用车0辆、主要领导干部用车1辆、机要通信用车</w:t>
      </w:r>
      <w:r>
        <w:rPr>
          <w:rFonts w:ascii="仿宋_GB2312" w:eastAsia="仿宋_GB2312" w:cs="仿宋_GB2312"/>
          <w:kern w:val="0"/>
          <w:sz w:val="32"/>
          <w:szCs w:val="32"/>
        </w:rPr>
        <w:t>0</w:t>
      </w:r>
      <w:r>
        <w:rPr>
          <w:rFonts w:hint="eastAsia" w:ascii="仿宋_GB2312" w:eastAsia="仿宋_GB2312" w:cs="仿宋_GB2312"/>
          <w:kern w:val="0"/>
          <w:sz w:val="32"/>
          <w:szCs w:val="32"/>
        </w:rPr>
        <w:t>辆、应急保障用车</w:t>
      </w:r>
      <w:r>
        <w:rPr>
          <w:rFonts w:ascii="仿宋_GB2312" w:eastAsia="仿宋_GB2312" w:cs="仿宋_GB2312"/>
          <w:kern w:val="0"/>
          <w:sz w:val="32"/>
          <w:szCs w:val="32"/>
        </w:rPr>
        <w:t>0</w:t>
      </w:r>
      <w:r>
        <w:rPr>
          <w:rFonts w:hint="eastAsia" w:ascii="仿宋_GB2312" w:eastAsia="仿宋_GB2312" w:cs="仿宋_GB2312"/>
          <w:kern w:val="0"/>
          <w:sz w:val="32"/>
          <w:szCs w:val="32"/>
        </w:rPr>
        <w:t>辆、执法执勤用车</w:t>
      </w:r>
      <w:r>
        <w:rPr>
          <w:rFonts w:ascii="仿宋_GB2312" w:eastAsia="仿宋_GB2312" w:cs="仿宋_GB2312"/>
          <w:kern w:val="0"/>
          <w:sz w:val="32"/>
          <w:szCs w:val="32"/>
        </w:rPr>
        <w:t>0</w:t>
      </w:r>
      <w:r>
        <w:rPr>
          <w:rFonts w:hint="eastAsia" w:ascii="仿宋_GB2312" w:eastAsia="仿宋_GB2312" w:cs="仿宋_GB2312"/>
          <w:kern w:val="0"/>
          <w:sz w:val="32"/>
          <w:szCs w:val="32"/>
        </w:rPr>
        <w:t>辆、特种专业技术用车</w:t>
      </w:r>
      <w:r>
        <w:rPr>
          <w:rFonts w:ascii="仿宋_GB2312" w:eastAsia="仿宋_GB2312" w:cs="仿宋_GB2312"/>
          <w:kern w:val="0"/>
          <w:sz w:val="32"/>
          <w:szCs w:val="32"/>
        </w:rPr>
        <w:t>0</w:t>
      </w:r>
      <w:r>
        <w:rPr>
          <w:rFonts w:hint="eastAsia" w:ascii="仿宋_GB2312" w:eastAsia="仿宋_GB2312" w:cs="仿宋_GB2312"/>
          <w:kern w:val="0"/>
          <w:sz w:val="32"/>
          <w:szCs w:val="32"/>
        </w:rPr>
        <w:t>辆、离退休干部用车</w:t>
      </w:r>
      <w:r>
        <w:rPr>
          <w:rFonts w:ascii="仿宋_GB2312" w:eastAsia="仿宋_GB2312" w:cs="仿宋_GB2312"/>
          <w:kern w:val="0"/>
          <w:sz w:val="32"/>
          <w:szCs w:val="32"/>
        </w:rPr>
        <w:t>0</w:t>
      </w:r>
      <w:r>
        <w:rPr>
          <w:rFonts w:hint="eastAsia" w:ascii="仿宋_GB2312" w:eastAsia="仿宋_GB2312" w:cs="仿宋_GB2312"/>
          <w:kern w:val="0"/>
          <w:sz w:val="32"/>
          <w:szCs w:val="32"/>
        </w:rPr>
        <w:t>辆、其他用车</w:t>
      </w:r>
      <w:r>
        <w:rPr>
          <w:rFonts w:ascii="仿宋_GB2312" w:eastAsia="仿宋_GB2312" w:cs="仿宋_GB2312"/>
          <w:kern w:val="0"/>
          <w:sz w:val="32"/>
          <w:szCs w:val="32"/>
        </w:rPr>
        <w:t>15</w:t>
      </w:r>
      <w:r>
        <w:rPr>
          <w:rFonts w:hint="eastAsia" w:ascii="仿宋_GB2312" w:eastAsia="仿宋_GB2312" w:cs="仿宋_GB2312"/>
          <w:kern w:val="0"/>
          <w:sz w:val="32"/>
          <w:szCs w:val="32"/>
        </w:rPr>
        <w:t>辆，其他用车主要是学校用于接送学生往返于各个校区的校车；单位价值50万元以上通用设备3</w:t>
      </w:r>
      <w:r>
        <w:rPr>
          <w:rFonts w:ascii="仿宋_GB2312" w:eastAsia="仿宋_GB2312" w:cs="仿宋_GB2312"/>
          <w:kern w:val="0"/>
          <w:sz w:val="32"/>
          <w:szCs w:val="32"/>
        </w:rPr>
        <w:t>4</w:t>
      </w:r>
      <w:r>
        <w:rPr>
          <w:rFonts w:hint="eastAsia" w:ascii="仿宋_GB2312" w:eastAsia="仿宋_GB2312" w:cs="仿宋_GB2312"/>
          <w:kern w:val="0"/>
          <w:sz w:val="32"/>
          <w:szCs w:val="32"/>
        </w:rPr>
        <w:t>台（套）；单位价值100万元以上专用设备</w:t>
      </w:r>
      <w:r>
        <w:rPr>
          <w:rFonts w:ascii="仿宋_GB2312" w:eastAsia="仿宋_GB2312" w:cs="仿宋_GB2312"/>
          <w:kern w:val="0"/>
          <w:sz w:val="32"/>
          <w:szCs w:val="32"/>
        </w:rPr>
        <w:t>0</w:t>
      </w:r>
      <w:r>
        <w:rPr>
          <w:rFonts w:hint="eastAsia" w:ascii="仿宋_GB2312" w:eastAsia="仿宋_GB2312" w:cs="仿宋_GB2312"/>
          <w:kern w:val="0"/>
          <w:sz w:val="32"/>
          <w:szCs w:val="32"/>
        </w:rPr>
        <w:t>台（套）。</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根据财政预算管理要求，我</w:t>
      </w:r>
      <w:r>
        <w:rPr>
          <w:rFonts w:hint="eastAsia" w:ascii="仿宋_GB2312" w:eastAsia="仿宋_GB2312" w:cs="仿宋_GB2312"/>
          <w:color w:val="auto"/>
          <w:kern w:val="0"/>
          <w:sz w:val="32"/>
          <w:szCs w:val="32"/>
          <w:lang w:eastAsia="zh-CN"/>
        </w:rPr>
        <w:t>校</w:t>
      </w:r>
      <w:r>
        <w:rPr>
          <w:rFonts w:hint="eastAsia" w:ascii="仿宋_GB2312" w:eastAsia="仿宋_GB2312" w:cs="仿宋_GB2312"/>
          <w:color w:val="auto"/>
          <w:kern w:val="0"/>
          <w:sz w:val="32"/>
          <w:szCs w:val="32"/>
        </w:rPr>
        <w:t>组织对20</w:t>
      </w:r>
      <w:r>
        <w:rPr>
          <w:rFonts w:hint="eastAsia" w:ascii="仿宋_GB2312" w:eastAsia="仿宋_GB2312" w:cs="仿宋_GB2312"/>
          <w:color w:val="auto"/>
          <w:kern w:val="0"/>
          <w:sz w:val="32"/>
          <w:szCs w:val="32"/>
          <w:lang w:val="en-US" w:eastAsia="zh-CN"/>
        </w:rPr>
        <w:t>20</w:t>
      </w:r>
      <w:r>
        <w:rPr>
          <w:rFonts w:hint="eastAsia" w:ascii="仿宋_GB2312" w:eastAsia="仿宋_GB2312" w:cs="仿宋_GB2312"/>
          <w:color w:val="auto"/>
          <w:kern w:val="0"/>
          <w:sz w:val="32"/>
          <w:szCs w:val="32"/>
        </w:rPr>
        <w:t>年度第五批八桂学者2020年专项经费</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桂财教函〔2020〕129号</w:t>
      </w:r>
      <w:r>
        <w:rPr>
          <w:rFonts w:hint="eastAsia" w:ascii="仿宋_GB2312" w:eastAsia="仿宋_GB2312" w:cs="仿宋_GB2312"/>
          <w:color w:val="auto"/>
          <w:kern w:val="0"/>
          <w:sz w:val="32"/>
          <w:szCs w:val="32"/>
          <w:lang w:eastAsia="zh-CN"/>
        </w:rPr>
        <w:t>）、博士硕士学位授予单位立项建设及研究生创新创业经费、高校本专科国家奖助学金等</w:t>
      </w:r>
      <w:r>
        <w:rPr>
          <w:rFonts w:hint="eastAsia" w:ascii="仿宋_GB2312" w:eastAsia="仿宋_GB2312" w:cs="仿宋_GB2312"/>
          <w:color w:val="auto"/>
          <w:kern w:val="0"/>
          <w:sz w:val="32"/>
          <w:szCs w:val="32"/>
          <w:lang w:val="en-US" w:eastAsia="zh-CN"/>
        </w:rPr>
        <w:t>27个</w:t>
      </w:r>
      <w:r>
        <w:rPr>
          <w:rFonts w:hint="eastAsia" w:ascii="仿宋_GB2312" w:eastAsia="仿宋_GB2312" w:cs="仿宋_GB2312"/>
          <w:color w:val="auto"/>
          <w:kern w:val="0"/>
          <w:sz w:val="32"/>
          <w:szCs w:val="32"/>
        </w:rPr>
        <w:t>一般公共预算项目支出全面开展绩效自评。共涉及资金</w:t>
      </w:r>
      <w:r>
        <w:rPr>
          <w:rFonts w:hint="eastAsia" w:ascii="仿宋_GB2312" w:eastAsia="仿宋_GB2312" w:cs="仿宋_GB2312"/>
          <w:color w:val="auto"/>
          <w:kern w:val="0"/>
          <w:sz w:val="32"/>
          <w:szCs w:val="32"/>
          <w:lang w:val="en-US" w:eastAsia="zh-CN"/>
        </w:rPr>
        <w:t>27,</w:t>
      </w:r>
      <w:bookmarkStart w:id="2" w:name="_GoBack"/>
      <w:bookmarkEnd w:id="2"/>
      <w:r>
        <w:rPr>
          <w:rFonts w:hint="eastAsia" w:ascii="仿宋_GB2312" w:eastAsia="仿宋_GB2312" w:cs="仿宋_GB2312"/>
          <w:color w:val="auto"/>
          <w:kern w:val="0"/>
          <w:sz w:val="32"/>
          <w:szCs w:val="32"/>
          <w:lang w:val="en-US" w:eastAsia="zh-CN"/>
        </w:rPr>
        <w:t>019.56</w:t>
      </w:r>
      <w:r>
        <w:rPr>
          <w:rFonts w:hint="eastAsia" w:ascii="仿宋_GB2312" w:eastAsia="仿宋_GB2312" w:cs="仿宋_GB2312"/>
          <w:color w:val="auto"/>
          <w:kern w:val="0"/>
          <w:sz w:val="32"/>
          <w:szCs w:val="32"/>
        </w:rPr>
        <w:t>万元，占一般公共预算项目支出总额的</w:t>
      </w:r>
      <w:r>
        <w:rPr>
          <w:rFonts w:hint="eastAsia" w:ascii="仿宋_GB2312" w:eastAsia="仿宋_GB2312" w:cs="仿宋_GB2312"/>
          <w:color w:val="auto"/>
          <w:kern w:val="0"/>
          <w:sz w:val="32"/>
          <w:szCs w:val="32"/>
          <w:lang w:val="en-US" w:eastAsia="zh-CN"/>
        </w:rPr>
        <w:t>66.60</w:t>
      </w:r>
      <w:r>
        <w:rPr>
          <w:rFonts w:hint="eastAsia" w:ascii="仿宋_GB2312" w:eastAsia="仿宋_GB2312" w:cs="仿宋_GB2312"/>
          <w:color w:val="auto"/>
          <w:kern w:val="0"/>
          <w:sz w:val="32"/>
          <w:szCs w:val="32"/>
        </w:rPr>
        <w:t>%。组织对20</w:t>
      </w:r>
      <w:r>
        <w:rPr>
          <w:rFonts w:hint="eastAsia" w:ascii="仿宋_GB2312" w:eastAsia="仿宋_GB2312" w:cs="仿宋_GB2312"/>
          <w:color w:val="auto"/>
          <w:kern w:val="0"/>
          <w:sz w:val="32"/>
          <w:szCs w:val="32"/>
          <w:lang w:val="en-US" w:eastAsia="zh-CN"/>
        </w:rPr>
        <w:t>20</w:t>
      </w:r>
      <w:r>
        <w:rPr>
          <w:rFonts w:hint="eastAsia" w:ascii="仿宋_GB2312" w:eastAsia="仿宋_GB2312" w:cs="仿宋_GB2312"/>
          <w:color w:val="auto"/>
          <w:kern w:val="0"/>
          <w:sz w:val="32"/>
          <w:szCs w:val="32"/>
        </w:rPr>
        <w:t>年度追加2020年度部分区直高校建设项目专项债券资金（第三批）</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桂财教函〔2020〕132号</w:t>
      </w:r>
      <w:r>
        <w:rPr>
          <w:rFonts w:hint="eastAsia" w:ascii="仿宋_GB2312" w:eastAsia="仿宋_GB2312" w:cs="仿宋_GB2312"/>
          <w:color w:val="auto"/>
          <w:kern w:val="0"/>
          <w:sz w:val="32"/>
          <w:szCs w:val="32"/>
          <w:lang w:eastAsia="zh-CN"/>
        </w:rPr>
        <w:t>）、追加</w:t>
      </w:r>
      <w:r>
        <w:rPr>
          <w:rFonts w:hint="eastAsia" w:ascii="仿宋_GB2312" w:eastAsia="仿宋_GB2312" w:cs="仿宋_GB2312"/>
          <w:color w:val="auto"/>
          <w:kern w:val="0"/>
          <w:sz w:val="32"/>
          <w:szCs w:val="32"/>
        </w:rPr>
        <w:t>2020年区直部分高校建设项目专项债券资金（第四批）</w:t>
      </w:r>
      <w:r>
        <w:rPr>
          <w:rFonts w:hint="eastAsia" w:ascii="仿宋_GB2312" w:eastAsia="仿宋_GB2312" w:cs="仿宋_GB2312"/>
          <w:color w:val="auto"/>
          <w:kern w:val="0"/>
          <w:sz w:val="32"/>
          <w:szCs w:val="32"/>
          <w:lang w:eastAsia="zh-CN"/>
        </w:rPr>
        <w:t>（桂财教函〔2020〕215号）</w:t>
      </w:r>
      <w:r>
        <w:rPr>
          <w:rFonts w:hint="eastAsia" w:ascii="仿宋_GB2312" w:eastAsia="仿宋_GB2312" w:cs="仿宋_GB2312"/>
          <w:color w:val="auto"/>
          <w:kern w:val="0"/>
          <w:sz w:val="32"/>
          <w:szCs w:val="32"/>
        </w:rPr>
        <w:t>等</w:t>
      </w:r>
      <w:r>
        <w:rPr>
          <w:rFonts w:hint="eastAsia" w:ascii="仿宋_GB2312" w:eastAsia="仿宋_GB2312" w:cs="仿宋_GB2312"/>
          <w:color w:val="auto"/>
          <w:kern w:val="0"/>
          <w:sz w:val="32"/>
          <w:szCs w:val="32"/>
          <w:lang w:val="en-US" w:eastAsia="zh-CN"/>
        </w:rPr>
        <w:t>2</w:t>
      </w:r>
      <w:r>
        <w:rPr>
          <w:rFonts w:hint="eastAsia" w:ascii="仿宋_GB2312" w:eastAsia="仿宋_GB2312" w:cs="仿宋_GB2312"/>
          <w:color w:val="auto"/>
          <w:kern w:val="0"/>
          <w:sz w:val="32"/>
          <w:szCs w:val="32"/>
        </w:rPr>
        <w:t>个政府性基金预算项目支出开展绩效自评，共涉及资金</w:t>
      </w:r>
      <w:r>
        <w:rPr>
          <w:rFonts w:hint="eastAsia" w:ascii="仿宋_GB2312" w:eastAsia="仿宋_GB2312" w:cs="仿宋_GB2312"/>
          <w:color w:val="auto"/>
          <w:kern w:val="0"/>
          <w:sz w:val="32"/>
          <w:szCs w:val="32"/>
          <w:lang w:val="en-US" w:eastAsia="zh-CN"/>
        </w:rPr>
        <w:t>40,000</w:t>
      </w:r>
      <w:r>
        <w:rPr>
          <w:rFonts w:hint="eastAsia" w:ascii="仿宋_GB2312" w:eastAsia="仿宋_GB2312" w:cs="仿宋_GB2312"/>
          <w:color w:val="auto"/>
          <w:kern w:val="0"/>
          <w:sz w:val="32"/>
          <w:szCs w:val="32"/>
        </w:rPr>
        <w:t>万元，占政府性基金预算项目支出总额的</w:t>
      </w:r>
      <w:r>
        <w:rPr>
          <w:rFonts w:hint="eastAsia" w:ascii="仿宋_GB2312" w:eastAsia="仿宋_GB2312" w:cs="仿宋_GB2312"/>
          <w:color w:val="auto"/>
          <w:kern w:val="0"/>
          <w:sz w:val="32"/>
          <w:szCs w:val="32"/>
          <w:lang w:val="en-US" w:eastAsia="zh-CN"/>
        </w:rPr>
        <w:t>100</w:t>
      </w:r>
      <w:r>
        <w:rPr>
          <w:rFonts w:hint="eastAsia" w:ascii="仿宋_GB2312" w:eastAsia="仿宋_GB2312" w:cs="仿宋_GB2312"/>
          <w:color w:val="auto"/>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以上开展绩效自评的项目涵盖了学校主要的职能部门，项目符合我校的发展规划及年度工作计划，项目目标明确，绩效指标具体量化。通过开展预算绩效自评工作，学校各职能部门对预算经费使用的过程管理、资金的使用效益等有了进一步认识，加强了业务工作与资金使用的有效衔接。</w:t>
      </w:r>
    </w:p>
    <w:p>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p>
    <w:p>
      <w:pPr>
        <w:autoSpaceDE w:val="0"/>
        <w:autoSpaceDN w:val="0"/>
        <w:adjustRightInd w:val="0"/>
        <w:spacing w:line="560" w:lineRule="exact"/>
        <w:jc w:val="center"/>
        <w:rPr>
          <w:rFonts w:ascii="仿宋_GB2312" w:eastAsia="仿宋_GB2312" w:cs="仿宋_GB2312"/>
          <w:b/>
          <w:kern w:val="0"/>
          <w:sz w:val="32"/>
          <w:szCs w:val="32"/>
        </w:rPr>
      </w:pPr>
    </w:p>
    <w:p>
      <w:pPr>
        <w:autoSpaceDE w:val="0"/>
        <w:autoSpaceDN w:val="0"/>
        <w:adjustRightInd w:val="0"/>
        <w:spacing w:line="560" w:lineRule="exact"/>
        <w:jc w:val="center"/>
        <w:rPr>
          <w:rFonts w:ascii="仿宋_GB2312" w:eastAsia="仿宋_GB2312" w:cs="仿宋_GB2312"/>
          <w:b/>
          <w:kern w:val="0"/>
          <w:sz w:val="32"/>
          <w:szCs w:val="32"/>
        </w:rPr>
      </w:pPr>
    </w:p>
    <w:p>
      <w:pPr>
        <w:autoSpaceDE w:val="0"/>
        <w:autoSpaceDN w:val="0"/>
        <w:adjustRightInd w:val="0"/>
        <w:spacing w:line="560" w:lineRule="exact"/>
        <w:jc w:val="center"/>
        <w:rPr>
          <w:rFonts w:ascii="黑体" w:hAnsi="黑体" w:eastAsia="黑体" w:cs="仿宋_GB2312"/>
          <w:kern w:val="0"/>
          <w:sz w:val="32"/>
          <w:szCs w:val="32"/>
        </w:rPr>
      </w:pPr>
      <w:r>
        <w:rPr>
          <w:rFonts w:hint="eastAsia" w:ascii="黑体" w:hAnsi="黑体" w:eastAsia="黑体" w:cs="仿宋_GB2312"/>
          <w:kern w:val="0"/>
          <w:sz w:val="32"/>
          <w:szCs w:val="32"/>
        </w:rPr>
        <w:t>第四部分  名词解释</w:t>
      </w:r>
    </w:p>
    <w:p>
      <w:pPr>
        <w:ind w:firstLine="640"/>
        <w:rPr>
          <w:rFonts w:ascii="仿宋_GB2312" w:eastAsia="仿宋_GB2312"/>
          <w:sz w:val="32"/>
          <w:szCs w:val="32"/>
        </w:rPr>
      </w:pPr>
      <w:r>
        <w:rPr>
          <w:rFonts w:hint="eastAsia" w:ascii="仿宋_GB2312" w:eastAsia="仿宋_GB2312"/>
          <w:sz w:val="32"/>
          <w:szCs w:val="32"/>
        </w:rPr>
        <w:t xml:space="preserve">一、财政拨款收入：指自治区财政部门当年拨付的资金。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8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11</w:t>
    </w:r>
    <w:r>
      <w:rPr>
        <w:rFonts w:ascii="宋体" w:hAnsi="宋体"/>
        <w:sz w:val="28"/>
        <w:szCs w:val="28"/>
      </w:rPr>
      <w:fldChar w:fldCharType="end"/>
    </w:r>
    <w:r>
      <w:rPr>
        <w:rFonts w:hint="eastAsia" w:ascii="宋体" w:hAnsi="宋体"/>
        <w:sz w:val="28"/>
        <w:szCs w:val="28"/>
      </w:rPr>
      <w:t>—</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20" w:firstLineChars="15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hint="eastAsia" w:ascii="宋体" w:hAnsi="宋体"/>
        <w:sz w:val="28"/>
        <w:szCs w:val="28"/>
      </w:rP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03A"/>
    <w:rsid w:val="00000C19"/>
    <w:rsid w:val="000025D7"/>
    <w:rsid w:val="000029C9"/>
    <w:rsid w:val="00011970"/>
    <w:rsid w:val="00012A72"/>
    <w:rsid w:val="000132BE"/>
    <w:rsid w:val="00014B7F"/>
    <w:rsid w:val="000157A9"/>
    <w:rsid w:val="00017F54"/>
    <w:rsid w:val="000206F8"/>
    <w:rsid w:val="0002142A"/>
    <w:rsid w:val="000222ED"/>
    <w:rsid w:val="000275C8"/>
    <w:rsid w:val="00030D95"/>
    <w:rsid w:val="00032D5F"/>
    <w:rsid w:val="000373C3"/>
    <w:rsid w:val="0004145E"/>
    <w:rsid w:val="000441F7"/>
    <w:rsid w:val="00046498"/>
    <w:rsid w:val="0004689D"/>
    <w:rsid w:val="00050F20"/>
    <w:rsid w:val="00053DFF"/>
    <w:rsid w:val="00060EB1"/>
    <w:rsid w:val="000624C1"/>
    <w:rsid w:val="00062651"/>
    <w:rsid w:val="00075941"/>
    <w:rsid w:val="000772EB"/>
    <w:rsid w:val="0008469B"/>
    <w:rsid w:val="00084D65"/>
    <w:rsid w:val="00084D7B"/>
    <w:rsid w:val="000855C8"/>
    <w:rsid w:val="00086800"/>
    <w:rsid w:val="00087056"/>
    <w:rsid w:val="00090B5D"/>
    <w:rsid w:val="000910E5"/>
    <w:rsid w:val="0009172A"/>
    <w:rsid w:val="00091768"/>
    <w:rsid w:val="00094416"/>
    <w:rsid w:val="00094BD1"/>
    <w:rsid w:val="0009684C"/>
    <w:rsid w:val="00096F23"/>
    <w:rsid w:val="0009722B"/>
    <w:rsid w:val="000A2AB8"/>
    <w:rsid w:val="000A6054"/>
    <w:rsid w:val="000A6C6F"/>
    <w:rsid w:val="000B17C5"/>
    <w:rsid w:val="000B28CB"/>
    <w:rsid w:val="000B3150"/>
    <w:rsid w:val="000B4991"/>
    <w:rsid w:val="000B50F0"/>
    <w:rsid w:val="000B6ADF"/>
    <w:rsid w:val="000C0E3B"/>
    <w:rsid w:val="000C5BEC"/>
    <w:rsid w:val="000C63B9"/>
    <w:rsid w:val="000C6D5F"/>
    <w:rsid w:val="000C6FCB"/>
    <w:rsid w:val="000D23D3"/>
    <w:rsid w:val="000D2E1E"/>
    <w:rsid w:val="000D3F04"/>
    <w:rsid w:val="000D4FEF"/>
    <w:rsid w:val="000D59C5"/>
    <w:rsid w:val="000E0EF2"/>
    <w:rsid w:val="000E46F0"/>
    <w:rsid w:val="000F1C31"/>
    <w:rsid w:val="000F2407"/>
    <w:rsid w:val="000F2C94"/>
    <w:rsid w:val="000F6708"/>
    <w:rsid w:val="000F7869"/>
    <w:rsid w:val="0010068C"/>
    <w:rsid w:val="00100FAF"/>
    <w:rsid w:val="00102D27"/>
    <w:rsid w:val="00103347"/>
    <w:rsid w:val="0010639B"/>
    <w:rsid w:val="00107921"/>
    <w:rsid w:val="001112C5"/>
    <w:rsid w:val="00112308"/>
    <w:rsid w:val="00112FD8"/>
    <w:rsid w:val="001142CD"/>
    <w:rsid w:val="0011491B"/>
    <w:rsid w:val="00116EA1"/>
    <w:rsid w:val="001216D7"/>
    <w:rsid w:val="00122319"/>
    <w:rsid w:val="00123033"/>
    <w:rsid w:val="00124337"/>
    <w:rsid w:val="00124374"/>
    <w:rsid w:val="00124696"/>
    <w:rsid w:val="00124C1D"/>
    <w:rsid w:val="00127C35"/>
    <w:rsid w:val="00131E61"/>
    <w:rsid w:val="00134300"/>
    <w:rsid w:val="0014054D"/>
    <w:rsid w:val="00140B11"/>
    <w:rsid w:val="00143E79"/>
    <w:rsid w:val="001452D0"/>
    <w:rsid w:val="00146528"/>
    <w:rsid w:val="00146943"/>
    <w:rsid w:val="00146A23"/>
    <w:rsid w:val="00152434"/>
    <w:rsid w:val="00154352"/>
    <w:rsid w:val="00154359"/>
    <w:rsid w:val="00155313"/>
    <w:rsid w:val="00160A4D"/>
    <w:rsid w:val="00170279"/>
    <w:rsid w:val="001718C7"/>
    <w:rsid w:val="0017498B"/>
    <w:rsid w:val="00175415"/>
    <w:rsid w:val="001847E1"/>
    <w:rsid w:val="00184C71"/>
    <w:rsid w:val="00184D07"/>
    <w:rsid w:val="00185888"/>
    <w:rsid w:val="00186585"/>
    <w:rsid w:val="001865E7"/>
    <w:rsid w:val="0018764F"/>
    <w:rsid w:val="00191280"/>
    <w:rsid w:val="00194E59"/>
    <w:rsid w:val="00196A9B"/>
    <w:rsid w:val="001A0C25"/>
    <w:rsid w:val="001A1448"/>
    <w:rsid w:val="001A1542"/>
    <w:rsid w:val="001A6FD4"/>
    <w:rsid w:val="001A7D11"/>
    <w:rsid w:val="001B0307"/>
    <w:rsid w:val="001B166A"/>
    <w:rsid w:val="001B4B53"/>
    <w:rsid w:val="001B5D25"/>
    <w:rsid w:val="001C104A"/>
    <w:rsid w:val="001D0189"/>
    <w:rsid w:val="001D3D99"/>
    <w:rsid w:val="001D676E"/>
    <w:rsid w:val="001D6B9B"/>
    <w:rsid w:val="001E1E8E"/>
    <w:rsid w:val="001E263B"/>
    <w:rsid w:val="001E29BB"/>
    <w:rsid w:val="001E36B3"/>
    <w:rsid w:val="001E5C0E"/>
    <w:rsid w:val="001F5DC2"/>
    <w:rsid w:val="002018A2"/>
    <w:rsid w:val="0020576C"/>
    <w:rsid w:val="00207EAA"/>
    <w:rsid w:val="002109FE"/>
    <w:rsid w:val="00215D56"/>
    <w:rsid w:val="002160E7"/>
    <w:rsid w:val="002208D1"/>
    <w:rsid w:val="00220F16"/>
    <w:rsid w:val="00221229"/>
    <w:rsid w:val="00222800"/>
    <w:rsid w:val="00224936"/>
    <w:rsid w:val="00226542"/>
    <w:rsid w:val="00232489"/>
    <w:rsid w:val="00237501"/>
    <w:rsid w:val="00237B04"/>
    <w:rsid w:val="00237B7A"/>
    <w:rsid w:val="00240535"/>
    <w:rsid w:val="00240953"/>
    <w:rsid w:val="00240F09"/>
    <w:rsid w:val="002416AE"/>
    <w:rsid w:val="00241DEE"/>
    <w:rsid w:val="0024429E"/>
    <w:rsid w:val="00246C1D"/>
    <w:rsid w:val="00250261"/>
    <w:rsid w:val="002504E7"/>
    <w:rsid w:val="002509E4"/>
    <w:rsid w:val="002514D7"/>
    <w:rsid w:val="0025158F"/>
    <w:rsid w:val="00251F64"/>
    <w:rsid w:val="00251FA3"/>
    <w:rsid w:val="00253683"/>
    <w:rsid w:val="0025461A"/>
    <w:rsid w:val="002603EE"/>
    <w:rsid w:val="0026094C"/>
    <w:rsid w:val="00260D24"/>
    <w:rsid w:val="002620EF"/>
    <w:rsid w:val="002633F3"/>
    <w:rsid w:val="00266617"/>
    <w:rsid w:val="002675C3"/>
    <w:rsid w:val="00267C5B"/>
    <w:rsid w:val="00267CC9"/>
    <w:rsid w:val="00274E01"/>
    <w:rsid w:val="002752E2"/>
    <w:rsid w:val="002803AA"/>
    <w:rsid w:val="002804E0"/>
    <w:rsid w:val="00291736"/>
    <w:rsid w:val="002954D5"/>
    <w:rsid w:val="00297CCB"/>
    <w:rsid w:val="002A02D0"/>
    <w:rsid w:val="002A368F"/>
    <w:rsid w:val="002A3928"/>
    <w:rsid w:val="002A3E37"/>
    <w:rsid w:val="002A555C"/>
    <w:rsid w:val="002A6A9A"/>
    <w:rsid w:val="002B1412"/>
    <w:rsid w:val="002B2E03"/>
    <w:rsid w:val="002B6EA5"/>
    <w:rsid w:val="002C0E9F"/>
    <w:rsid w:val="002C281F"/>
    <w:rsid w:val="002C5A6A"/>
    <w:rsid w:val="002D4A30"/>
    <w:rsid w:val="002E03AA"/>
    <w:rsid w:val="002E3BED"/>
    <w:rsid w:val="002E7A82"/>
    <w:rsid w:val="002F3061"/>
    <w:rsid w:val="002F3CF8"/>
    <w:rsid w:val="002F497A"/>
    <w:rsid w:val="002F7B1D"/>
    <w:rsid w:val="00300BB4"/>
    <w:rsid w:val="00300FD9"/>
    <w:rsid w:val="00301C94"/>
    <w:rsid w:val="00306668"/>
    <w:rsid w:val="003103DF"/>
    <w:rsid w:val="00311100"/>
    <w:rsid w:val="00311ABD"/>
    <w:rsid w:val="003122D0"/>
    <w:rsid w:val="003127B5"/>
    <w:rsid w:val="003130DD"/>
    <w:rsid w:val="0031372E"/>
    <w:rsid w:val="00315574"/>
    <w:rsid w:val="00320B55"/>
    <w:rsid w:val="003232EB"/>
    <w:rsid w:val="00323399"/>
    <w:rsid w:val="0032366E"/>
    <w:rsid w:val="00323731"/>
    <w:rsid w:val="00324790"/>
    <w:rsid w:val="0032516B"/>
    <w:rsid w:val="00326265"/>
    <w:rsid w:val="00332392"/>
    <w:rsid w:val="0033707D"/>
    <w:rsid w:val="00337891"/>
    <w:rsid w:val="00340841"/>
    <w:rsid w:val="00341BFA"/>
    <w:rsid w:val="0034272A"/>
    <w:rsid w:val="0034412D"/>
    <w:rsid w:val="003447DA"/>
    <w:rsid w:val="0034512A"/>
    <w:rsid w:val="00346FB4"/>
    <w:rsid w:val="003557F0"/>
    <w:rsid w:val="0036023B"/>
    <w:rsid w:val="00360F0D"/>
    <w:rsid w:val="00361A06"/>
    <w:rsid w:val="00362E12"/>
    <w:rsid w:val="00363267"/>
    <w:rsid w:val="0036427C"/>
    <w:rsid w:val="00364511"/>
    <w:rsid w:val="00365C50"/>
    <w:rsid w:val="00367236"/>
    <w:rsid w:val="00370055"/>
    <w:rsid w:val="003706FD"/>
    <w:rsid w:val="00370E78"/>
    <w:rsid w:val="00370F52"/>
    <w:rsid w:val="003720EC"/>
    <w:rsid w:val="0037296A"/>
    <w:rsid w:val="00372DDA"/>
    <w:rsid w:val="00373228"/>
    <w:rsid w:val="003733D5"/>
    <w:rsid w:val="00375904"/>
    <w:rsid w:val="00376419"/>
    <w:rsid w:val="0037657B"/>
    <w:rsid w:val="003813FB"/>
    <w:rsid w:val="00381DD6"/>
    <w:rsid w:val="003851D3"/>
    <w:rsid w:val="00386927"/>
    <w:rsid w:val="0039174F"/>
    <w:rsid w:val="003917B6"/>
    <w:rsid w:val="003925EC"/>
    <w:rsid w:val="003925FB"/>
    <w:rsid w:val="003929E5"/>
    <w:rsid w:val="00395A70"/>
    <w:rsid w:val="00396BF6"/>
    <w:rsid w:val="00397445"/>
    <w:rsid w:val="003A03A2"/>
    <w:rsid w:val="003A04DC"/>
    <w:rsid w:val="003A08D0"/>
    <w:rsid w:val="003A12A9"/>
    <w:rsid w:val="003A2C6C"/>
    <w:rsid w:val="003A447D"/>
    <w:rsid w:val="003A637E"/>
    <w:rsid w:val="003A67B2"/>
    <w:rsid w:val="003A6BD2"/>
    <w:rsid w:val="003A7E38"/>
    <w:rsid w:val="003B00AF"/>
    <w:rsid w:val="003B0F5F"/>
    <w:rsid w:val="003B3F82"/>
    <w:rsid w:val="003B45F8"/>
    <w:rsid w:val="003B5F91"/>
    <w:rsid w:val="003C26AA"/>
    <w:rsid w:val="003C291D"/>
    <w:rsid w:val="003C48C5"/>
    <w:rsid w:val="003C66E5"/>
    <w:rsid w:val="003C7709"/>
    <w:rsid w:val="003D0764"/>
    <w:rsid w:val="003D1E99"/>
    <w:rsid w:val="003D3081"/>
    <w:rsid w:val="003D3A37"/>
    <w:rsid w:val="003D3CAA"/>
    <w:rsid w:val="003D4E96"/>
    <w:rsid w:val="003D527F"/>
    <w:rsid w:val="003D6F8F"/>
    <w:rsid w:val="003E11C0"/>
    <w:rsid w:val="003E183B"/>
    <w:rsid w:val="003E2626"/>
    <w:rsid w:val="003E39C8"/>
    <w:rsid w:val="003E39E1"/>
    <w:rsid w:val="003E4405"/>
    <w:rsid w:val="003E46F0"/>
    <w:rsid w:val="003E50BC"/>
    <w:rsid w:val="003E50FC"/>
    <w:rsid w:val="003E56AB"/>
    <w:rsid w:val="003F6785"/>
    <w:rsid w:val="003F6E50"/>
    <w:rsid w:val="003F7922"/>
    <w:rsid w:val="00401CB5"/>
    <w:rsid w:val="00403F6E"/>
    <w:rsid w:val="004109A2"/>
    <w:rsid w:val="004113DD"/>
    <w:rsid w:val="0041229B"/>
    <w:rsid w:val="0041459A"/>
    <w:rsid w:val="00417299"/>
    <w:rsid w:val="00417659"/>
    <w:rsid w:val="00420E37"/>
    <w:rsid w:val="00426330"/>
    <w:rsid w:val="00427CC4"/>
    <w:rsid w:val="004304AE"/>
    <w:rsid w:val="00430D18"/>
    <w:rsid w:val="004316FD"/>
    <w:rsid w:val="0043445B"/>
    <w:rsid w:val="00435609"/>
    <w:rsid w:val="004357B3"/>
    <w:rsid w:val="00440293"/>
    <w:rsid w:val="00441648"/>
    <w:rsid w:val="0044224E"/>
    <w:rsid w:val="00442330"/>
    <w:rsid w:val="00443145"/>
    <w:rsid w:val="00443562"/>
    <w:rsid w:val="00444696"/>
    <w:rsid w:val="0044603A"/>
    <w:rsid w:val="00446B3E"/>
    <w:rsid w:val="00447BF6"/>
    <w:rsid w:val="004522B4"/>
    <w:rsid w:val="004522C8"/>
    <w:rsid w:val="00453ED8"/>
    <w:rsid w:val="00454BC7"/>
    <w:rsid w:val="00455BE5"/>
    <w:rsid w:val="00456362"/>
    <w:rsid w:val="004625E8"/>
    <w:rsid w:val="00462EBD"/>
    <w:rsid w:val="0046358D"/>
    <w:rsid w:val="00465295"/>
    <w:rsid w:val="004672EC"/>
    <w:rsid w:val="00471145"/>
    <w:rsid w:val="00471611"/>
    <w:rsid w:val="00477A2E"/>
    <w:rsid w:val="00480B7A"/>
    <w:rsid w:val="004827C4"/>
    <w:rsid w:val="00484FAE"/>
    <w:rsid w:val="00485E6F"/>
    <w:rsid w:val="00491C5B"/>
    <w:rsid w:val="00491D25"/>
    <w:rsid w:val="00493E03"/>
    <w:rsid w:val="0049716A"/>
    <w:rsid w:val="004972EC"/>
    <w:rsid w:val="004A0B63"/>
    <w:rsid w:val="004A3BC5"/>
    <w:rsid w:val="004A449E"/>
    <w:rsid w:val="004A61C9"/>
    <w:rsid w:val="004A6F76"/>
    <w:rsid w:val="004B1F34"/>
    <w:rsid w:val="004B289F"/>
    <w:rsid w:val="004B35CE"/>
    <w:rsid w:val="004B3DE6"/>
    <w:rsid w:val="004B4DC4"/>
    <w:rsid w:val="004B6E81"/>
    <w:rsid w:val="004B7A7F"/>
    <w:rsid w:val="004B7A9E"/>
    <w:rsid w:val="004C04CD"/>
    <w:rsid w:val="004C1A22"/>
    <w:rsid w:val="004C4FBF"/>
    <w:rsid w:val="004C6064"/>
    <w:rsid w:val="004D055F"/>
    <w:rsid w:val="004E110C"/>
    <w:rsid w:val="004E1290"/>
    <w:rsid w:val="004E7C99"/>
    <w:rsid w:val="004F1C3E"/>
    <w:rsid w:val="004F349C"/>
    <w:rsid w:val="004F3E39"/>
    <w:rsid w:val="004F4F61"/>
    <w:rsid w:val="004F7674"/>
    <w:rsid w:val="004F7C61"/>
    <w:rsid w:val="00500122"/>
    <w:rsid w:val="00500DA6"/>
    <w:rsid w:val="00501090"/>
    <w:rsid w:val="00503EA9"/>
    <w:rsid w:val="00506308"/>
    <w:rsid w:val="00506B9A"/>
    <w:rsid w:val="00507786"/>
    <w:rsid w:val="00507C93"/>
    <w:rsid w:val="00514372"/>
    <w:rsid w:val="00516C0D"/>
    <w:rsid w:val="00521420"/>
    <w:rsid w:val="00522008"/>
    <w:rsid w:val="0052243C"/>
    <w:rsid w:val="00522B92"/>
    <w:rsid w:val="00523A6D"/>
    <w:rsid w:val="00523BBE"/>
    <w:rsid w:val="00523CDA"/>
    <w:rsid w:val="00524715"/>
    <w:rsid w:val="00526411"/>
    <w:rsid w:val="00531804"/>
    <w:rsid w:val="00540964"/>
    <w:rsid w:val="00543475"/>
    <w:rsid w:val="005457A3"/>
    <w:rsid w:val="00546759"/>
    <w:rsid w:val="00550503"/>
    <w:rsid w:val="00550B77"/>
    <w:rsid w:val="0055168C"/>
    <w:rsid w:val="00552861"/>
    <w:rsid w:val="005531C0"/>
    <w:rsid w:val="00560D19"/>
    <w:rsid w:val="0056462A"/>
    <w:rsid w:val="00564A10"/>
    <w:rsid w:val="005658EF"/>
    <w:rsid w:val="00565E23"/>
    <w:rsid w:val="00570EC7"/>
    <w:rsid w:val="0057447A"/>
    <w:rsid w:val="00575BF2"/>
    <w:rsid w:val="00575D10"/>
    <w:rsid w:val="0057611D"/>
    <w:rsid w:val="00577A85"/>
    <w:rsid w:val="00581BAC"/>
    <w:rsid w:val="005829F3"/>
    <w:rsid w:val="00582E4E"/>
    <w:rsid w:val="005854E8"/>
    <w:rsid w:val="00590AD9"/>
    <w:rsid w:val="00592E5F"/>
    <w:rsid w:val="00593191"/>
    <w:rsid w:val="0059378D"/>
    <w:rsid w:val="00593DBF"/>
    <w:rsid w:val="005949F2"/>
    <w:rsid w:val="00596282"/>
    <w:rsid w:val="00597357"/>
    <w:rsid w:val="00597F5E"/>
    <w:rsid w:val="005A0856"/>
    <w:rsid w:val="005A12C2"/>
    <w:rsid w:val="005A52FA"/>
    <w:rsid w:val="005A5EE0"/>
    <w:rsid w:val="005A5FFF"/>
    <w:rsid w:val="005A6470"/>
    <w:rsid w:val="005B2A50"/>
    <w:rsid w:val="005B3181"/>
    <w:rsid w:val="005B3A4E"/>
    <w:rsid w:val="005B6953"/>
    <w:rsid w:val="005C0471"/>
    <w:rsid w:val="005C26BD"/>
    <w:rsid w:val="005C2BB0"/>
    <w:rsid w:val="005C64C4"/>
    <w:rsid w:val="005C76A1"/>
    <w:rsid w:val="005C7829"/>
    <w:rsid w:val="005D0A2C"/>
    <w:rsid w:val="005D5516"/>
    <w:rsid w:val="005D6B9C"/>
    <w:rsid w:val="005D7580"/>
    <w:rsid w:val="005E1010"/>
    <w:rsid w:val="005E135D"/>
    <w:rsid w:val="005E1E96"/>
    <w:rsid w:val="005E26E1"/>
    <w:rsid w:val="005E5A8E"/>
    <w:rsid w:val="005E6D82"/>
    <w:rsid w:val="005F01E6"/>
    <w:rsid w:val="005F0A65"/>
    <w:rsid w:val="005F0F32"/>
    <w:rsid w:val="005F4A57"/>
    <w:rsid w:val="005F4D94"/>
    <w:rsid w:val="005F6265"/>
    <w:rsid w:val="005F6BF4"/>
    <w:rsid w:val="00601671"/>
    <w:rsid w:val="00602CE4"/>
    <w:rsid w:val="00605CAA"/>
    <w:rsid w:val="006070EA"/>
    <w:rsid w:val="006102FB"/>
    <w:rsid w:val="00614F8D"/>
    <w:rsid w:val="0061500F"/>
    <w:rsid w:val="0061640E"/>
    <w:rsid w:val="0062137B"/>
    <w:rsid w:val="00624986"/>
    <w:rsid w:val="00625F0E"/>
    <w:rsid w:val="006270F9"/>
    <w:rsid w:val="00632761"/>
    <w:rsid w:val="00634652"/>
    <w:rsid w:val="006356AA"/>
    <w:rsid w:val="00635CE7"/>
    <w:rsid w:val="006366ED"/>
    <w:rsid w:val="00640685"/>
    <w:rsid w:val="0064164F"/>
    <w:rsid w:val="00641757"/>
    <w:rsid w:val="00642FE1"/>
    <w:rsid w:val="00644441"/>
    <w:rsid w:val="00651B6B"/>
    <w:rsid w:val="00651EB1"/>
    <w:rsid w:val="006526A9"/>
    <w:rsid w:val="00653A13"/>
    <w:rsid w:val="006544A0"/>
    <w:rsid w:val="00654CF0"/>
    <w:rsid w:val="00655F33"/>
    <w:rsid w:val="0065654E"/>
    <w:rsid w:val="00656982"/>
    <w:rsid w:val="00657E7C"/>
    <w:rsid w:val="00660939"/>
    <w:rsid w:val="00661C0A"/>
    <w:rsid w:val="0066336F"/>
    <w:rsid w:val="00663DF2"/>
    <w:rsid w:val="006656D4"/>
    <w:rsid w:val="00666497"/>
    <w:rsid w:val="00667ECC"/>
    <w:rsid w:val="0067081C"/>
    <w:rsid w:val="00671767"/>
    <w:rsid w:val="0067481E"/>
    <w:rsid w:val="00674CF3"/>
    <w:rsid w:val="00681F9C"/>
    <w:rsid w:val="00682A95"/>
    <w:rsid w:val="00682B38"/>
    <w:rsid w:val="006851F9"/>
    <w:rsid w:val="00687BA6"/>
    <w:rsid w:val="0069307B"/>
    <w:rsid w:val="00695FEF"/>
    <w:rsid w:val="006972ED"/>
    <w:rsid w:val="006A16A2"/>
    <w:rsid w:val="006A2761"/>
    <w:rsid w:val="006A3A31"/>
    <w:rsid w:val="006A7174"/>
    <w:rsid w:val="006A7688"/>
    <w:rsid w:val="006B1881"/>
    <w:rsid w:val="006B1E13"/>
    <w:rsid w:val="006B2177"/>
    <w:rsid w:val="006B22C2"/>
    <w:rsid w:val="006B5F57"/>
    <w:rsid w:val="006B65CA"/>
    <w:rsid w:val="006C3C3A"/>
    <w:rsid w:val="006C4FA3"/>
    <w:rsid w:val="006C4FE5"/>
    <w:rsid w:val="006C588F"/>
    <w:rsid w:val="006C6837"/>
    <w:rsid w:val="006C7E2F"/>
    <w:rsid w:val="006D4111"/>
    <w:rsid w:val="006E2A4B"/>
    <w:rsid w:val="006E6B4C"/>
    <w:rsid w:val="006F0B05"/>
    <w:rsid w:val="006F3EAD"/>
    <w:rsid w:val="006F40FC"/>
    <w:rsid w:val="00700C01"/>
    <w:rsid w:val="007031EA"/>
    <w:rsid w:val="00711AEC"/>
    <w:rsid w:val="007122D1"/>
    <w:rsid w:val="00720DA9"/>
    <w:rsid w:val="007211BB"/>
    <w:rsid w:val="00721B73"/>
    <w:rsid w:val="007248A8"/>
    <w:rsid w:val="00726149"/>
    <w:rsid w:val="00726CE4"/>
    <w:rsid w:val="00726F52"/>
    <w:rsid w:val="00730F3D"/>
    <w:rsid w:val="007315DD"/>
    <w:rsid w:val="007332FF"/>
    <w:rsid w:val="00737545"/>
    <w:rsid w:val="00737D11"/>
    <w:rsid w:val="007422D1"/>
    <w:rsid w:val="00745B18"/>
    <w:rsid w:val="007509D4"/>
    <w:rsid w:val="007539A3"/>
    <w:rsid w:val="00755474"/>
    <w:rsid w:val="00756D28"/>
    <w:rsid w:val="00757FA8"/>
    <w:rsid w:val="00760979"/>
    <w:rsid w:val="00761354"/>
    <w:rsid w:val="00764C11"/>
    <w:rsid w:val="00764F6A"/>
    <w:rsid w:val="00765E74"/>
    <w:rsid w:val="007715E8"/>
    <w:rsid w:val="00772614"/>
    <w:rsid w:val="00775163"/>
    <w:rsid w:val="00775640"/>
    <w:rsid w:val="007764D0"/>
    <w:rsid w:val="00777398"/>
    <w:rsid w:val="00777A8E"/>
    <w:rsid w:val="00777CA1"/>
    <w:rsid w:val="007801C9"/>
    <w:rsid w:val="007803F3"/>
    <w:rsid w:val="00782829"/>
    <w:rsid w:val="00782D73"/>
    <w:rsid w:val="00785517"/>
    <w:rsid w:val="00786C26"/>
    <w:rsid w:val="007870D1"/>
    <w:rsid w:val="0079081E"/>
    <w:rsid w:val="00794153"/>
    <w:rsid w:val="007A239C"/>
    <w:rsid w:val="007A3A19"/>
    <w:rsid w:val="007A43ED"/>
    <w:rsid w:val="007A46F8"/>
    <w:rsid w:val="007A5846"/>
    <w:rsid w:val="007A5B41"/>
    <w:rsid w:val="007A7EBA"/>
    <w:rsid w:val="007B110B"/>
    <w:rsid w:val="007B1610"/>
    <w:rsid w:val="007B17C6"/>
    <w:rsid w:val="007B2E5F"/>
    <w:rsid w:val="007B6945"/>
    <w:rsid w:val="007B6D8F"/>
    <w:rsid w:val="007C0CB7"/>
    <w:rsid w:val="007C17DC"/>
    <w:rsid w:val="007C44FE"/>
    <w:rsid w:val="007C586A"/>
    <w:rsid w:val="007C5EE5"/>
    <w:rsid w:val="007C623B"/>
    <w:rsid w:val="007C640A"/>
    <w:rsid w:val="007D15F0"/>
    <w:rsid w:val="007D7589"/>
    <w:rsid w:val="007E168C"/>
    <w:rsid w:val="007E19EA"/>
    <w:rsid w:val="007E2F28"/>
    <w:rsid w:val="007E3268"/>
    <w:rsid w:val="007E3960"/>
    <w:rsid w:val="007E6BB9"/>
    <w:rsid w:val="007E6FB3"/>
    <w:rsid w:val="007F3565"/>
    <w:rsid w:val="007F42C7"/>
    <w:rsid w:val="007F4A6E"/>
    <w:rsid w:val="00804325"/>
    <w:rsid w:val="00805F4E"/>
    <w:rsid w:val="008073D4"/>
    <w:rsid w:val="00807404"/>
    <w:rsid w:val="0080788D"/>
    <w:rsid w:val="00810BA1"/>
    <w:rsid w:val="00811874"/>
    <w:rsid w:val="00811CE7"/>
    <w:rsid w:val="008132BB"/>
    <w:rsid w:val="00815C03"/>
    <w:rsid w:val="0081731A"/>
    <w:rsid w:val="008177E7"/>
    <w:rsid w:val="00823CDD"/>
    <w:rsid w:val="00823F17"/>
    <w:rsid w:val="00823F5A"/>
    <w:rsid w:val="0082443D"/>
    <w:rsid w:val="0083153A"/>
    <w:rsid w:val="00831558"/>
    <w:rsid w:val="00831EC1"/>
    <w:rsid w:val="00836AAF"/>
    <w:rsid w:val="00837A84"/>
    <w:rsid w:val="00837AA7"/>
    <w:rsid w:val="00841433"/>
    <w:rsid w:val="0084343C"/>
    <w:rsid w:val="00846A84"/>
    <w:rsid w:val="00852334"/>
    <w:rsid w:val="00856285"/>
    <w:rsid w:val="00857730"/>
    <w:rsid w:val="00862A1D"/>
    <w:rsid w:val="00864703"/>
    <w:rsid w:val="00864D34"/>
    <w:rsid w:val="00865781"/>
    <w:rsid w:val="00866282"/>
    <w:rsid w:val="008719CB"/>
    <w:rsid w:val="0087280A"/>
    <w:rsid w:val="008738AB"/>
    <w:rsid w:val="0087406C"/>
    <w:rsid w:val="0087494D"/>
    <w:rsid w:val="00875C79"/>
    <w:rsid w:val="00875E6D"/>
    <w:rsid w:val="00881153"/>
    <w:rsid w:val="0088331A"/>
    <w:rsid w:val="00885567"/>
    <w:rsid w:val="00890504"/>
    <w:rsid w:val="0089154B"/>
    <w:rsid w:val="0089315C"/>
    <w:rsid w:val="00896ED1"/>
    <w:rsid w:val="00896FB6"/>
    <w:rsid w:val="008A1C93"/>
    <w:rsid w:val="008A500A"/>
    <w:rsid w:val="008B364B"/>
    <w:rsid w:val="008B5042"/>
    <w:rsid w:val="008B5FCB"/>
    <w:rsid w:val="008B61C2"/>
    <w:rsid w:val="008B7339"/>
    <w:rsid w:val="008B7ADF"/>
    <w:rsid w:val="008C3643"/>
    <w:rsid w:val="008C4AE5"/>
    <w:rsid w:val="008C721F"/>
    <w:rsid w:val="008C7583"/>
    <w:rsid w:val="008D08D9"/>
    <w:rsid w:val="008D5336"/>
    <w:rsid w:val="008D5AD1"/>
    <w:rsid w:val="008D607F"/>
    <w:rsid w:val="008D6102"/>
    <w:rsid w:val="008D62C7"/>
    <w:rsid w:val="008D70F9"/>
    <w:rsid w:val="008E12C1"/>
    <w:rsid w:val="008E166D"/>
    <w:rsid w:val="008E16EF"/>
    <w:rsid w:val="008E210F"/>
    <w:rsid w:val="008E4DF0"/>
    <w:rsid w:val="008E526A"/>
    <w:rsid w:val="008E5B85"/>
    <w:rsid w:val="008F1457"/>
    <w:rsid w:val="008F162A"/>
    <w:rsid w:val="008F5504"/>
    <w:rsid w:val="00904E22"/>
    <w:rsid w:val="00905BA1"/>
    <w:rsid w:val="00913E50"/>
    <w:rsid w:val="0091403A"/>
    <w:rsid w:val="009144AC"/>
    <w:rsid w:val="00914E39"/>
    <w:rsid w:val="0091557F"/>
    <w:rsid w:val="00915ED0"/>
    <w:rsid w:val="00916BD0"/>
    <w:rsid w:val="0092058F"/>
    <w:rsid w:val="00920E28"/>
    <w:rsid w:val="0092109F"/>
    <w:rsid w:val="009231E6"/>
    <w:rsid w:val="0092579F"/>
    <w:rsid w:val="00926083"/>
    <w:rsid w:val="0092667D"/>
    <w:rsid w:val="009271EC"/>
    <w:rsid w:val="00931760"/>
    <w:rsid w:val="009331C5"/>
    <w:rsid w:val="00933389"/>
    <w:rsid w:val="00935528"/>
    <w:rsid w:val="009406C2"/>
    <w:rsid w:val="00941171"/>
    <w:rsid w:val="00941969"/>
    <w:rsid w:val="00942727"/>
    <w:rsid w:val="009469E5"/>
    <w:rsid w:val="0094717A"/>
    <w:rsid w:val="009479DB"/>
    <w:rsid w:val="009513E6"/>
    <w:rsid w:val="009521FE"/>
    <w:rsid w:val="00953686"/>
    <w:rsid w:val="009540C4"/>
    <w:rsid w:val="009629D4"/>
    <w:rsid w:val="00963C93"/>
    <w:rsid w:val="009640EC"/>
    <w:rsid w:val="00964A52"/>
    <w:rsid w:val="009670CB"/>
    <w:rsid w:val="009677CC"/>
    <w:rsid w:val="009711B2"/>
    <w:rsid w:val="00971623"/>
    <w:rsid w:val="009727A0"/>
    <w:rsid w:val="00972C86"/>
    <w:rsid w:val="009732B4"/>
    <w:rsid w:val="00973F96"/>
    <w:rsid w:val="00974A81"/>
    <w:rsid w:val="00974FC9"/>
    <w:rsid w:val="0097570A"/>
    <w:rsid w:val="009808CE"/>
    <w:rsid w:val="009828A4"/>
    <w:rsid w:val="00983D49"/>
    <w:rsid w:val="00984CD6"/>
    <w:rsid w:val="009857B1"/>
    <w:rsid w:val="00985895"/>
    <w:rsid w:val="00987A53"/>
    <w:rsid w:val="00990B57"/>
    <w:rsid w:val="00993F99"/>
    <w:rsid w:val="009A0986"/>
    <w:rsid w:val="009A10BF"/>
    <w:rsid w:val="009A45C8"/>
    <w:rsid w:val="009A59C7"/>
    <w:rsid w:val="009A60B0"/>
    <w:rsid w:val="009A7E67"/>
    <w:rsid w:val="009B1F15"/>
    <w:rsid w:val="009B30CF"/>
    <w:rsid w:val="009B3782"/>
    <w:rsid w:val="009B5570"/>
    <w:rsid w:val="009B6741"/>
    <w:rsid w:val="009C130B"/>
    <w:rsid w:val="009C1EA5"/>
    <w:rsid w:val="009C37C0"/>
    <w:rsid w:val="009C447C"/>
    <w:rsid w:val="009C5EF4"/>
    <w:rsid w:val="009D5762"/>
    <w:rsid w:val="009D5DAA"/>
    <w:rsid w:val="009D6899"/>
    <w:rsid w:val="009D79C1"/>
    <w:rsid w:val="009D7FCC"/>
    <w:rsid w:val="009E08FB"/>
    <w:rsid w:val="009E10AB"/>
    <w:rsid w:val="009E1FBD"/>
    <w:rsid w:val="009E26CF"/>
    <w:rsid w:val="009E2F21"/>
    <w:rsid w:val="009E59B0"/>
    <w:rsid w:val="009F4063"/>
    <w:rsid w:val="009F4DC5"/>
    <w:rsid w:val="009F5FE7"/>
    <w:rsid w:val="009F6101"/>
    <w:rsid w:val="009F63DE"/>
    <w:rsid w:val="009F7181"/>
    <w:rsid w:val="009F7A4D"/>
    <w:rsid w:val="00A01520"/>
    <w:rsid w:val="00A01CBE"/>
    <w:rsid w:val="00A02E22"/>
    <w:rsid w:val="00A11758"/>
    <w:rsid w:val="00A131E8"/>
    <w:rsid w:val="00A13C0D"/>
    <w:rsid w:val="00A14149"/>
    <w:rsid w:val="00A142C9"/>
    <w:rsid w:val="00A14979"/>
    <w:rsid w:val="00A15312"/>
    <w:rsid w:val="00A15DA7"/>
    <w:rsid w:val="00A20F48"/>
    <w:rsid w:val="00A22010"/>
    <w:rsid w:val="00A26FC1"/>
    <w:rsid w:val="00A3398D"/>
    <w:rsid w:val="00A34603"/>
    <w:rsid w:val="00A36862"/>
    <w:rsid w:val="00A432AF"/>
    <w:rsid w:val="00A43D57"/>
    <w:rsid w:val="00A44CF2"/>
    <w:rsid w:val="00A45A87"/>
    <w:rsid w:val="00A45E59"/>
    <w:rsid w:val="00A45E80"/>
    <w:rsid w:val="00A50A8E"/>
    <w:rsid w:val="00A55BB2"/>
    <w:rsid w:val="00A56BA7"/>
    <w:rsid w:val="00A577F6"/>
    <w:rsid w:val="00A57AD0"/>
    <w:rsid w:val="00A60DE8"/>
    <w:rsid w:val="00A676AA"/>
    <w:rsid w:val="00A679E5"/>
    <w:rsid w:val="00A7165E"/>
    <w:rsid w:val="00A718FE"/>
    <w:rsid w:val="00A7250A"/>
    <w:rsid w:val="00A73BCC"/>
    <w:rsid w:val="00A73D12"/>
    <w:rsid w:val="00A760C8"/>
    <w:rsid w:val="00A772F6"/>
    <w:rsid w:val="00A80298"/>
    <w:rsid w:val="00A80F6A"/>
    <w:rsid w:val="00A81062"/>
    <w:rsid w:val="00A82A65"/>
    <w:rsid w:val="00A8503E"/>
    <w:rsid w:val="00A850E0"/>
    <w:rsid w:val="00A86014"/>
    <w:rsid w:val="00A910EE"/>
    <w:rsid w:val="00A94D03"/>
    <w:rsid w:val="00A96B89"/>
    <w:rsid w:val="00A96D19"/>
    <w:rsid w:val="00AA0F15"/>
    <w:rsid w:val="00AA579D"/>
    <w:rsid w:val="00AA764D"/>
    <w:rsid w:val="00AA7BD6"/>
    <w:rsid w:val="00AB08C3"/>
    <w:rsid w:val="00AB0FD7"/>
    <w:rsid w:val="00AB4560"/>
    <w:rsid w:val="00AB5FD1"/>
    <w:rsid w:val="00AC0DDC"/>
    <w:rsid w:val="00AC1625"/>
    <w:rsid w:val="00AC3648"/>
    <w:rsid w:val="00AC6B2C"/>
    <w:rsid w:val="00AC747D"/>
    <w:rsid w:val="00AD0867"/>
    <w:rsid w:val="00AD1AEC"/>
    <w:rsid w:val="00AD2AF1"/>
    <w:rsid w:val="00AD67F5"/>
    <w:rsid w:val="00AE00E6"/>
    <w:rsid w:val="00AE18C7"/>
    <w:rsid w:val="00AE5A90"/>
    <w:rsid w:val="00AE5D22"/>
    <w:rsid w:val="00AF0C2C"/>
    <w:rsid w:val="00AF2549"/>
    <w:rsid w:val="00B02F00"/>
    <w:rsid w:val="00B0580E"/>
    <w:rsid w:val="00B107A7"/>
    <w:rsid w:val="00B10EBE"/>
    <w:rsid w:val="00B11BB3"/>
    <w:rsid w:val="00B12AE7"/>
    <w:rsid w:val="00B139B3"/>
    <w:rsid w:val="00B14F49"/>
    <w:rsid w:val="00B16BC2"/>
    <w:rsid w:val="00B238D0"/>
    <w:rsid w:val="00B23938"/>
    <w:rsid w:val="00B25422"/>
    <w:rsid w:val="00B2626E"/>
    <w:rsid w:val="00B30629"/>
    <w:rsid w:val="00B31F36"/>
    <w:rsid w:val="00B32FC4"/>
    <w:rsid w:val="00B3359F"/>
    <w:rsid w:val="00B3407C"/>
    <w:rsid w:val="00B3505D"/>
    <w:rsid w:val="00B3773E"/>
    <w:rsid w:val="00B42A1E"/>
    <w:rsid w:val="00B43D1D"/>
    <w:rsid w:val="00B518AD"/>
    <w:rsid w:val="00B52CDA"/>
    <w:rsid w:val="00B531DC"/>
    <w:rsid w:val="00B54A7E"/>
    <w:rsid w:val="00B5561B"/>
    <w:rsid w:val="00B60455"/>
    <w:rsid w:val="00B60787"/>
    <w:rsid w:val="00B62A17"/>
    <w:rsid w:val="00B63739"/>
    <w:rsid w:val="00B63ED0"/>
    <w:rsid w:val="00B64E02"/>
    <w:rsid w:val="00B655FB"/>
    <w:rsid w:val="00B65677"/>
    <w:rsid w:val="00B67893"/>
    <w:rsid w:val="00B67C50"/>
    <w:rsid w:val="00B766F9"/>
    <w:rsid w:val="00B76EDE"/>
    <w:rsid w:val="00B80114"/>
    <w:rsid w:val="00B8112B"/>
    <w:rsid w:val="00B82076"/>
    <w:rsid w:val="00B83F6C"/>
    <w:rsid w:val="00B84589"/>
    <w:rsid w:val="00B846A6"/>
    <w:rsid w:val="00B85222"/>
    <w:rsid w:val="00B8660A"/>
    <w:rsid w:val="00B866F0"/>
    <w:rsid w:val="00B90113"/>
    <w:rsid w:val="00B91F01"/>
    <w:rsid w:val="00B92A8C"/>
    <w:rsid w:val="00B936F7"/>
    <w:rsid w:val="00B93F45"/>
    <w:rsid w:val="00BA0F97"/>
    <w:rsid w:val="00BA211B"/>
    <w:rsid w:val="00BA33F7"/>
    <w:rsid w:val="00BA5FF4"/>
    <w:rsid w:val="00BB0D14"/>
    <w:rsid w:val="00BB23DC"/>
    <w:rsid w:val="00BB2F83"/>
    <w:rsid w:val="00BB4A71"/>
    <w:rsid w:val="00BC1857"/>
    <w:rsid w:val="00BC1A4E"/>
    <w:rsid w:val="00BC20FD"/>
    <w:rsid w:val="00BC27C2"/>
    <w:rsid w:val="00BC42E8"/>
    <w:rsid w:val="00BC44A4"/>
    <w:rsid w:val="00BD1990"/>
    <w:rsid w:val="00BD7C22"/>
    <w:rsid w:val="00BE4143"/>
    <w:rsid w:val="00BE624F"/>
    <w:rsid w:val="00BE7805"/>
    <w:rsid w:val="00BF3B1A"/>
    <w:rsid w:val="00BF6C43"/>
    <w:rsid w:val="00BF761E"/>
    <w:rsid w:val="00C01E04"/>
    <w:rsid w:val="00C02113"/>
    <w:rsid w:val="00C03996"/>
    <w:rsid w:val="00C06322"/>
    <w:rsid w:val="00C06B8E"/>
    <w:rsid w:val="00C07356"/>
    <w:rsid w:val="00C114E8"/>
    <w:rsid w:val="00C11E13"/>
    <w:rsid w:val="00C11FED"/>
    <w:rsid w:val="00C12287"/>
    <w:rsid w:val="00C12633"/>
    <w:rsid w:val="00C128D5"/>
    <w:rsid w:val="00C16273"/>
    <w:rsid w:val="00C16DDF"/>
    <w:rsid w:val="00C2086A"/>
    <w:rsid w:val="00C22E43"/>
    <w:rsid w:val="00C25938"/>
    <w:rsid w:val="00C25F58"/>
    <w:rsid w:val="00C27807"/>
    <w:rsid w:val="00C30396"/>
    <w:rsid w:val="00C30B8C"/>
    <w:rsid w:val="00C30BF2"/>
    <w:rsid w:val="00C3167D"/>
    <w:rsid w:val="00C32E97"/>
    <w:rsid w:val="00C33E59"/>
    <w:rsid w:val="00C33ED2"/>
    <w:rsid w:val="00C346BE"/>
    <w:rsid w:val="00C347F0"/>
    <w:rsid w:val="00C37DF9"/>
    <w:rsid w:val="00C40799"/>
    <w:rsid w:val="00C435D1"/>
    <w:rsid w:val="00C44FCE"/>
    <w:rsid w:val="00C45363"/>
    <w:rsid w:val="00C46B5A"/>
    <w:rsid w:val="00C50DFF"/>
    <w:rsid w:val="00C535F9"/>
    <w:rsid w:val="00C55B5E"/>
    <w:rsid w:val="00C56A4E"/>
    <w:rsid w:val="00C61F6E"/>
    <w:rsid w:val="00C62918"/>
    <w:rsid w:val="00C635D6"/>
    <w:rsid w:val="00C65972"/>
    <w:rsid w:val="00C663E4"/>
    <w:rsid w:val="00C6723F"/>
    <w:rsid w:val="00C67A5E"/>
    <w:rsid w:val="00C70B45"/>
    <w:rsid w:val="00C72838"/>
    <w:rsid w:val="00C73A3E"/>
    <w:rsid w:val="00C73FE7"/>
    <w:rsid w:val="00C76A20"/>
    <w:rsid w:val="00C76F51"/>
    <w:rsid w:val="00C867FF"/>
    <w:rsid w:val="00C86A05"/>
    <w:rsid w:val="00C87CE6"/>
    <w:rsid w:val="00C91B33"/>
    <w:rsid w:val="00C921C8"/>
    <w:rsid w:val="00C9267A"/>
    <w:rsid w:val="00C92EBF"/>
    <w:rsid w:val="00C93C90"/>
    <w:rsid w:val="00C944DA"/>
    <w:rsid w:val="00CA1901"/>
    <w:rsid w:val="00CA3A40"/>
    <w:rsid w:val="00CA4630"/>
    <w:rsid w:val="00CA579C"/>
    <w:rsid w:val="00CA6595"/>
    <w:rsid w:val="00CA6682"/>
    <w:rsid w:val="00CB1C33"/>
    <w:rsid w:val="00CB40C4"/>
    <w:rsid w:val="00CB4547"/>
    <w:rsid w:val="00CB460B"/>
    <w:rsid w:val="00CB621C"/>
    <w:rsid w:val="00CC21B0"/>
    <w:rsid w:val="00CC2A3C"/>
    <w:rsid w:val="00CC7E03"/>
    <w:rsid w:val="00CD2D1D"/>
    <w:rsid w:val="00CD5F94"/>
    <w:rsid w:val="00CE0255"/>
    <w:rsid w:val="00CE18D8"/>
    <w:rsid w:val="00CE2AA2"/>
    <w:rsid w:val="00CE33AE"/>
    <w:rsid w:val="00CE3BE3"/>
    <w:rsid w:val="00CE4469"/>
    <w:rsid w:val="00CE46EF"/>
    <w:rsid w:val="00CF05E5"/>
    <w:rsid w:val="00CF11BD"/>
    <w:rsid w:val="00CF3FB9"/>
    <w:rsid w:val="00CF40BE"/>
    <w:rsid w:val="00CF5257"/>
    <w:rsid w:val="00CF5F2E"/>
    <w:rsid w:val="00CF6165"/>
    <w:rsid w:val="00CF6C92"/>
    <w:rsid w:val="00CF6CBA"/>
    <w:rsid w:val="00CF7EA2"/>
    <w:rsid w:val="00D0044D"/>
    <w:rsid w:val="00D01008"/>
    <w:rsid w:val="00D0224D"/>
    <w:rsid w:val="00D02785"/>
    <w:rsid w:val="00D02826"/>
    <w:rsid w:val="00D034DB"/>
    <w:rsid w:val="00D100A5"/>
    <w:rsid w:val="00D1264B"/>
    <w:rsid w:val="00D17AB6"/>
    <w:rsid w:val="00D200C6"/>
    <w:rsid w:val="00D20C37"/>
    <w:rsid w:val="00D23CD6"/>
    <w:rsid w:val="00D25BB2"/>
    <w:rsid w:val="00D32A39"/>
    <w:rsid w:val="00D3313C"/>
    <w:rsid w:val="00D35B35"/>
    <w:rsid w:val="00D370F1"/>
    <w:rsid w:val="00D3798F"/>
    <w:rsid w:val="00D431E8"/>
    <w:rsid w:val="00D44E2D"/>
    <w:rsid w:val="00D46A7B"/>
    <w:rsid w:val="00D52703"/>
    <w:rsid w:val="00D542BA"/>
    <w:rsid w:val="00D5506F"/>
    <w:rsid w:val="00D564EE"/>
    <w:rsid w:val="00D60368"/>
    <w:rsid w:val="00D64936"/>
    <w:rsid w:val="00D64F1A"/>
    <w:rsid w:val="00D66A72"/>
    <w:rsid w:val="00D713DC"/>
    <w:rsid w:val="00D72F4D"/>
    <w:rsid w:val="00D736AC"/>
    <w:rsid w:val="00D7671D"/>
    <w:rsid w:val="00D76C99"/>
    <w:rsid w:val="00D77A08"/>
    <w:rsid w:val="00D81413"/>
    <w:rsid w:val="00D8315A"/>
    <w:rsid w:val="00D85F8F"/>
    <w:rsid w:val="00D860A8"/>
    <w:rsid w:val="00D87E57"/>
    <w:rsid w:val="00D87EFA"/>
    <w:rsid w:val="00D954FC"/>
    <w:rsid w:val="00D97B15"/>
    <w:rsid w:val="00DA1BA5"/>
    <w:rsid w:val="00DA4D23"/>
    <w:rsid w:val="00DA580C"/>
    <w:rsid w:val="00DA5C13"/>
    <w:rsid w:val="00DA5CAA"/>
    <w:rsid w:val="00DA5D90"/>
    <w:rsid w:val="00DA6C29"/>
    <w:rsid w:val="00DA6E8D"/>
    <w:rsid w:val="00DA7222"/>
    <w:rsid w:val="00DA761F"/>
    <w:rsid w:val="00DB0CD1"/>
    <w:rsid w:val="00DB15EA"/>
    <w:rsid w:val="00DB2FF6"/>
    <w:rsid w:val="00DB4343"/>
    <w:rsid w:val="00DB6260"/>
    <w:rsid w:val="00DC134B"/>
    <w:rsid w:val="00DC3BF6"/>
    <w:rsid w:val="00DC6DD2"/>
    <w:rsid w:val="00DD15D1"/>
    <w:rsid w:val="00DD2575"/>
    <w:rsid w:val="00DD3185"/>
    <w:rsid w:val="00DD7E12"/>
    <w:rsid w:val="00DE0CF4"/>
    <w:rsid w:val="00DE0E63"/>
    <w:rsid w:val="00DE3DC6"/>
    <w:rsid w:val="00DE41A9"/>
    <w:rsid w:val="00DE4819"/>
    <w:rsid w:val="00DF594E"/>
    <w:rsid w:val="00DF5F8A"/>
    <w:rsid w:val="00DF6BA3"/>
    <w:rsid w:val="00DF7B1D"/>
    <w:rsid w:val="00E00756"/>
    <w:rsid w:val="00E00EF1"/>
    <w:rsid w:val="00E04622"/>
    <w:rsid w:val="00E0553E"/>
    <w:rsid w:val="00E062DB"/>
    <w:rsid w:val="00E06486"/>
    <w:rsid w:val="00E101FB"/>
    <w:rsid w:val="00E2064E"/>
    <w:rsid w:val="00E22246"/>
    <w:rsid w:val="00E2359B"/>
    <w:rsid w:val="00E24230"/>
    <w:rsid w:val="00E277B7"/>
    <w:rsid w:val="00E3006E"/>
    <w:rsid w:val="00E3107A"/>
    <w:rsid w:val="00E32BC9"/>
    <w:rsid w:val="00E35388"/>
    <w:rsid w:val="00E366F4"/>
    <w:rsid w:val="00E40CE6"/>
    <w:rsid w:val="00E41662"/>
    <w:rsid w:val="00E41861"/>
    <w:rsid w:val="00E421D7"/>
    <w:rsid w:val="00E43757"/>
    <w:rsid w:val="00E43E07"/>
    <w:rsid w:val="00E454FE"/>
    <w:rsid w:val="00E46464"/>
    <w:rsid w:val="00E5259D"/>
    <w:rsid w:val="00E54AB4"/>
    <w:rsid w:val="00E572F8"/>
    <w:rsid w:val="00E57AFA"/>
    <w:rsid w:val="00E57DD3"/>
    <w:rsid w:val="00E63FB0"/>
    <w:rsid w:val="00E6479A"/>
    <w:rsid w:val="00E64E04"/>
    <w:rsid w:val="00E66D45"/>
    <w:rsid w:val="00E67F27"/>
    <w:rsid w:val="00E7021D"/>
    <w:rsid w:val="00E703A1"/>
    <w:rsid w:val="00E72E63"/>
    <w:rsid w:val="00E74F4F"/>
    <w:rsid w:val="00E75E18"/>
    <w:rsid w:val="00E80717"/>
    <w:rsid w:val="00E84179"/>
    <w:rsid w:val="00E85410"/>
    <w:rsid w:val="00E86F20"/>
    <w:rsid w:val="00E913F3"/>
    <w:rsid w:val="00E95BDA"/>
    <w:rsid w:val="00EA05E3"/>
    <w:rsid w:val="00EA4368"/>
    <w:rsid w:val="00EA5AD9"/>
    <w:rsid w:val="00EB1658"/>
    <w:rsid w:val="00EB38C5"/>
    <w:rsid w:val="00EB395C"/>
    <w:rsid w:val="00EB4A9B"/>
    <w:rsid w:val="00EB60BD"/>
    <w:rsid w:val="00EB6F95"/>
    <w:rsid w:val="00EC4E95"/>
    <w:rsid w:val="00EC582D"/>
    <w:rsid w:val="00EC6E2F"/>
    <w:rsid w:val="00EC7B03"/>
    <w:rsid w:val="00ED2066"/>
    <w:rsid w:val="00ED2DC6"/>
    <w:rsid w:val="00ED34E5"/>
    <w:rsid w:val="00ED623D"/>
    <w:rsid w:val="00ED6426"/>
    <w:rsid w:val="00ED76B8"/>
    <w:rsid w:val="00EF07FE"/>
    <w:rsid w:val="00EF0A7A"/>
    <w:rsid w:val="00EF100A"/>
    <w:rsid w:val="00EF164D"/>
    <w:rsid w:val="00EF19EA"/>
    <w:rsid w:val="00EF1F0F"/>
    <w:rsid w:val="00EF1F97"/>
    <w:rsid w:val="00EF74A8"/>
    <w:rsid w:val="00EF76E5"/>
    <w:rsid w:val="00F003F6"/>
    <w:rsid w:val="00F003FB"/>
    <w:rsid w:val="00F00A7A"/>
    <w:rsid w:val="00F04F30"/>
    <w:rsid w:val="00F06808"/>
    <w:rsid w:val="00F075EF"/>
    <w:rsid w:val="00F139D7"/>
    <w:rsid w:val="00F161F4"/>
    <w:rsid w:val="00F16CC1"/>
    <w:rsid w:val="00F22298"/>
    <w:rsid w:val="00F224F9"/>
    <w:rsid w:val="00F24858"/>
    <w:rsid w:val="00F2707F"/>
    <w:rsid w:val="00F32283"/>
    <w:rsid w:val="00F32B1D"/>
    <w:rsid w:val="00F32FB0"/>
    <w:rsid w:val="00F330A3"/>
    <w:rsid w:val="00F34C75"/>
    <w:rsid w:val="00F35690"/>
    <w:rsid w:val="00F4033D"/>
    <w:rsid w:val="00F426C5"/>
    <w:rsid w:val="00F4500D"/>
    <w:rsid w:val="00F45CDA"/>
    <w:rsid w:val="00F512BD"/>
    <w:rsid w:val="00F536D1"/>
    <w:rsid w:val="00F55D95"/>
    <w:rsid w:val="00F60CF8"/>
    <w:rsid w:val="00F6102B"/>
    <w:rsid w:val="00F65542"/>
    <w:rsid w:val="00F6565F"/>
    <w:rsid w:val="00F670CB"/>
    <w:rsid w:val="00F67573"/>
    <w:rsid w:val="00F717BE"/>
    <w:rsid w:val="00F761A8"/>
    <w:rsid w:val="00F76ABF"/>
    <w:rsid w:val="00F76DBA"/>
    <w:rsid w:val="00F77EA7"/>
    <w:rsid w:val="00F81B51"/>
    <w:rsid w:val="00F845ED"/>
    <w:rsid w:val="00F85878"/>
    <w:rsid w:val="00F85B3B"/>
    <w:rsid w:val="00F86C5D"/>
    <w:rsid w:val="00F87147"/>
    <w:rsid w:val="00F874A7"/>
    <w:rsid w:val="00F906FA"/>
    <w:rsid w:val="00F90735"/>
    <w:rsid w:val="00F908C7"/>
    <w:rsid w:val="00F92E09"/>
    <w:rsid w:val="00F97738"/>
    <w:rsid w:val="00FA0CC0"/>
    <w:rsid w:val="00FA3248"/>
    <w:rsid w:val="00FA35CA"/>
    <w:rsid w:val="00FA3B4A"/>
    <w:rsid w:val="00FA71A7"/>
    <w:rsid w:val="00FB2E39"/>
    <w:rsid w:val="00FB4013"/>
    <w:rsid w:val="00FB43FD"/>
    <w:rsid w:val="00FC2319"/>
    <w:rsid w:val="00FC4DCD"/>
    <w:rsid w:val="00FC530C"/>
    <w:rsid w:val="00FD3110"/>
    <w:rsid w:val="00FD4814"/>
    <w:rsid w:val="00FE02B0"/>
    <w:rsid w:val="00FE1350"/>
    <w:rsid w:val="00FE20C9"/>
    <w:rsid w:val="00FE435A"/>
    <w:rsid w:val="00FE46A9"/>
    <w:rsid w:val="00FE53B2"/>
    <w:rsid w:val="00FE59C3"/>
    <w:rsid w:val="00FE697B"/>
    <w:rsid w:val="00FE73A4"/>
    <w:rsid w:val="00FF073E"/>
    <w:rsid w:val="00FF202F"/>
    <w:rsid w:val="06CF355B"/>
    <w:rsid w:val="099E3DD5"/>
    <w:rsid w:val="0E115A6A"/>
    <w:rsid w:val="11B73583"/>
    <w:rsid w:val="1C257C31"/>
    <w:rsid w:val="1D911AA1"/>
    <w:rsid w:val="1E876A2F"/>
    <w:rsid w:val="20745B27"/>
    <w:rsid w:val="27A30260"/>
    <w:rsid w:val="2B8F22A6"/>
    <w:rsid w:val="38941F5F"/>
    <w:rsid w:val="42E6462B"/>
    <w:rsid w:val="59560F94"/>
    <w:rsid w:val="5D25324F"/>
    <w:rsid w:val="6B69699D"/>
    <w:rsid w:val="79502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link w:val="4"/>
    <w:qFormat/>
    <w:uiPriority w:val="0"/>
    <w:rPr>
      <w:rFonts w:eastAsia="宋体"/>
      <w:kern w:val="2"/>
      <w:sz w:val="18"/>
      <w:szCs w:val="18"/>
      <w:lang w:val="en-US" w:eastAsia="zh-CN" w:bidi="ar-SA"/>
    </w:rPr>
  </w:style>
  <w:style w:type="character" w:customStyle="1" w:styleId="9">
    <w:name w:val="页脚 字符"/>
    <w:link w:val="3"/>
    <w:qFormat/>
    <w:uiPriority w:val="99"/>
    <w:rPr>
      <w:rFonts w:eastAsia="宋体"/>
      <w:kern w:val="2"/>
      <w:sz w:val="18"/>
      <w:szCs w:val="18"/>
      <w:lang w:val="en-US" w:eastAsia="zh-CN" w:bidi="ar-SA"/>
    </w:rPr>
  </w:style>
  <w:style w:type="paragraph" w:styleId="10">
    <w:name w:val="List Paragraph"/>
    <w:basedOn w:val="1"/>
    <w:qFormat/>
    <w:uiPriority w:val="34"/>
    <w:pPr>
      <w:ind w:firstLine="420" w:firstLineChars="200"/>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FE9318-CE52-4DA4-A04D-498C7C89623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2662</Words>
  <Characters>15179</Characters>
  <Lines>126</Lines>
  <Paragraphs>35</Paragraphs>
  <TotalTime>4</TotalTime>
  <ScaleCrop>false</ScaleCrop>
  <LinksUpToDate>false</LinksUpToDate>
  <CharactersWithSpaces>17806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2021-08-11T03:16:00Z</dcterms:created>
  <dc:creator>莫先孔</dc:creator>
  <cp:lastModifiedBy>DELL</cp:lastModifiedBy>
  <cp:lastPrinted>2012-08-15T08:16:00Z</cp:lastPrinted>
  <dcterms:modified xsi:type="dcterms:W3CDTF">2021-08-25T08:22:41Z</dcterms:modified>
  <dc:title>附件：（部门决算公开格式）</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F0B615A6EDFB4D9FA91F9115986CA8D5</vt:lpwstr>
  </property>
</Properties>
</file>