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F1B41">
      <w:pPr>
        <w:adjustRightInd w:val="0"/>
        <w:snapToGrid w:val="0"/>
        <w:spacing w:line="560" w:lineRule="exact"/>
        <w:ind w:right="-218" w:rightChars="-104"/>
        <w:jc w:val="center"/>
        <w:rPr>
          <w:rFonts w:hint="eastAsia" w:ascii="黑体" w:hAnsi="黑体" w:eastAsia="黑体" w:cs="黑体"/>
          <w:sz w:val="44"/>
          <w:szCs w:val="44"/>
        </w:rPr>
      </w:pPr>
    </w:p>
    <w:p w14:paraId="611D20F4">
      <w:pPr>
        <w:adjustRightInd w:val="0"/>
        <w:snapToGrid w:val="0"/>
        <w:spacing w:line="560" w:lineRule="exact"/>
        <w:ind w:right="-218" w:rightChars="-104"/>
        <w:jc w:val="center"/>
        <w:rPr>
          <w:rFonts w:hint="eastAsia" w:ascii="黑体" w:hAnsi="黑体" w:eastAsia="黑体" w:cs="黑体"/>
          <w:sz w:val="44"/>
          <w:szCs w:val="44"/>
        </w:rPr>
      </w:pPr>
    </w:p>
    <w:p w14:paraId="3A0648FD">
      <w:pPr>
        <w:adjustRightInd w:val="0"/>
        <w:snapToGrid w:val="0"/>
        <w:spacing w:line="560" w:lineRule="exact"/>
        <w:ind w:right="-218" w:rightChars="-104"/>
        <w:jc w:val="center"/>
        <w:rPr>
          <w:rFonts w:hint="eastAsia" w:ascii="黑体" w:hAnsi="黑体" w:eastAsia="黑体" w:cs="黑体"/>
          <w:sz w:val="44"/>
          <w:szCs w:val="44"/>
        </w:rPr>
      </w:pPr>
    </w:p>
    <w:p w14:paraId="32A382FD">
      <w:pPr>
        <w:adjustRightInd w:val="0"/>
        <w:snapToGrid w:val="0"/>
        <w:spacing w:line="560" w:lineRule="exact"/>
        <w:ind w:right="-218" w:rightChars="-104"/>
        <w:jc w:val="center"/>
        <w:rPr>
          <w:rFonts w:hint="eastAsia" w:ascii="黑体" w:hAnsi="黑体" w:eastAsia="黑体" w:cs="黑体"/>
          <w:sz w:val="44"/>
          <w:szCs w:val="44"/>
        </w:rPr>
      </w:pPr>
    </w:p>
    <w:p w14:paraId="73FA5013">
      <w:pPr>
        <w:adjustRightInd w:val="0"/>
        <w:snapToGrid w:val="0"/>
        <w:spacing w:line="560" w:lineRule="exact"/>
        <w:ind w:right="-218" w:rightChars="-104"/>
        <w:jc w:val="center"/>
        <w:rPr>
          <w:rFonts w:hint="eastAsia" w:ascii="黑体" w:hAnsi="黑体" w:eastAsia="黑体" w:cs="黑体"/>
          <w:sz w:val="44"/>
          <w:szCs w:val="44"/>
        </w:rPr>
      </w:pPr>
    </w:p>
    <w:p w14:paraId="76B8BC6D">
      <w:pPr>
        <w:adjustRightInd w:val="0"/>
        <w:snapToGrid w:val="0"/>
        <w:spacing w:line="560" w:lineRule="exact"/>
        <w:ind w:right="-218" w:rightChars="-104"/>
        <w:jc w:val="center"/>
        <w:rPr>
          <w:rFonts w:hint="eastAsia" w:ascii="黑体" w:hAnsi="黑体" w:eastAsia="黑体" w:cs="黑体"/>
          <w:sz w:val="44"/>
          <w:szCs w:val="44"/>
        </w:rPr>
      </w:pPr>
    </w:p>
    <w:p w14:paraId="5BEBD09D">
      <w:pPr>
        <w:adjustRightInd w:val="0"/>
        <w:snapToGrid w:val="0"/>
        <w:spacing w:line="560" w:lineRule="exact"/>
        <w:ind w:right="-218" w:rightChars="-104"/>
        <w:jc w:val="both"/>
        <w:rPr>
          <w:rFonts w:hint="eastAsia" w:ascii="黑体" w:hAnsi="黑体" w:eastAsia="黑体" w:cs="黑体"/>
          <w:sz w:val="44"/>
          <w:szCs w:val="44"/>
        </w:rPr>
      </w:pPr>
    </w:p>
    <w:p w14:paraId="16CA71EE">
      <w:pPr>
        <w:adjustRightInd w:val="0"/>
        <w:snapToGrid w:val="0"/>
        <w:spacing w:line="560" w:lineRule="exact"/>
        <w:ind w:right="-218" w:rightChars="-104"/>
        <w:jc w:val="center"/>
        <w:rPr>
          <w:rFonts w:hint="eastAsia" w:ascii="黑体" w:hAnsi="黑体" w:eastAsia="黑体" w:cs="黑体"/>
          <w:sz w:val="52"/>
          <w:szCs w:val="52"/>
        </w:rPr>
      </w:pPr>
      <w:r>
        <w:rPr>
          <w:rFonts w:hint="eastAsia" w:ascii="黑体" w:hAnsi="黑体" w:eastAsia="黑体" w:cs="黑体"/>
          <w:sz w:val="52"/>
          <w:szCs w:val="52"/>
        </w:rPr>
        <w:t>南宁师范大学202</w:t>
      </w:r>
      <w:r>
        <w:rPr>
          <w:rFonts w:hint="eastAsia" w:ascii="黑体" w:hAnsi="黑体" w:eastAsia="黑体" w:cs="黑体"/>
          <w:sz w:val="52"/>
          <w:szCs w:val="52"/>
          <w:lang w:val="en-US" w:eastAsia="zh-CN"/>
        </w:rPr>
        <w:t>6</w:t>
      </w:r>
      <w:r>
        <w:rPr>
          <w:rFonts w:hint="eastAsia" w:ascii="黑体" w:hAnsi="黑体" w:eastAsia="黑体" w:cs="黑体"/>
          <w:sz w:val="52"/>
          <w:szCs w:val="52"/>
        </w:rPr>
        <w:t>年部门预算公开</w:t>
      </w:r>
    </w:p>
    <w:p w14:paraId="763A528F">
      <w:pPr>
        <w:jc w:val="center"/>
        <w:rPr>
          <w:rFonts w:ascii="仿宋_GB2312"/>
          <w:sz w:val="30"/>
          <w:szCs w:val="30"/>
        </w:rPr>
      </w:pPr>
      <w:r>
        <w:rPr>
          <w:rFonts w:hint="eastAsia" w:ascii="仿宋_GB2312"/>
          <w:sz w:val="30"/>
          <w:szCs w:val="30"/>
        </w:rPr>
        <w:t>（包含南宁师范大学本级和南宁师范大学附属实验学校）</w:t>
      </w:r>
    </w:p>
    <w:p w14:paraId="37A7E545">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6B8BECD4">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13A22637">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7F4B79AE">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3389AB7F">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023B5DE4">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67F5526A">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1348CD98">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75F7F209">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7257676A">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38D2DD70">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351D817F">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729D1A8A">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582599FA">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4CFD4CFD">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1940D07A">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目  录</w:t>
      </w:r>
    </w:p>
    <w:p w14:paraId="0944B59A">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p>
    <w:p w14:paraId="3023B812">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第一部分：南宁师范大学概况</w:t>
      </w:r>
    </w:p>
    <w:p w14:paraId="2E8A4A2F">
      <w:pPr>
        <w:pStyle w:val="2"/>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一、南宁师范大学主要职能</w:t>
      </w:r>
    </w:p>
    <w:p w14:paraId="4696D724">
      <w:pPr>
        <w:pStyle w:val="2"/>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二、南宁师范大学机构设置与人员构成情况</w:t>
      </w:r>
    </w:p>
    <w:p w14:paraId="3DDBD2B1">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第二部分：南宁师范大学202</w:t>
      </w:r>
      <w:r>
        <w:rPr>
          <w:rFonts w:hint="eastAsia" w:ascii="黑体" w:hAnsi="黑体" w:eastAsia="黑体" w:cs="黑体"/>
          <w:sz w:val="32"/>
          <w:szCs w:val="32"/>
          <w:lang w:val="en-US" w:eastAsia="zh-CN"/>
        </w:rPr>
        <w:t>6</w:t>
      </w:r>
      <w:r>
        <w:rPr>
          <w:rFonts w:hint="eastAsia" w:ascii="黑体" w:hAnsi="黑体" w:eastAsia="黑体" w:cs="黑体"/>
          <w:sz w:val="32"/>
          <w:szCs w:val="32"/>
          <w:lang w:eastAsia="zh-CN"/>
        </w:rPr>
        <w:t>年部门预算情况说明</w:t>
      </w:r>
    </w:p>
    <w:p w14:paraId="07D45F7D">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部门预算收支增减变化情况说明</w:t>
      </w:r>
    </w:p>
    <w:p w14:paraId="3B2760B8">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部门预算收入总体情况说明</w:t>
      </w:r>
    </w:p>
    <w:p w14:paraId="5392737D">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部门预算支出总体情况说明</w:t>
      </w:r>
    </w:p>
    <w:p w14:paraId="2A8A84A7">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政府性基金预算支出情况说</w:t>
      </w:r>
    </w:p>
    <w:p w14:paraId="7269B867">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国有资本经营预算支出情况说明</w:t>
      </w:r>
    </w:p>
    <w:p w14:paraId="76AA328F">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一般公共预算“三公”经费支出情况说明</w:t>
      </w:r>
    </w:p>
    <w:p w14:paraId="7BB75135">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事业单位</w:t>
      </w:r>
      <w:r>
        <w:rPr>
          <w:rFonts w:hint="eastAsia" w:ascii="黑体" w:hAnsi="黑体" w:eastAsia="黑体" w:cs="黑体"/>
          <w:sz w:val="32"/>
          <w:szCs w:val="32"/>
        </w:rPr>
        <w:t>运行经费安排情况说明</w:t>
      </w:r>
    </w:p>
    <w:p w14:paraId="6CF2728F">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政府采购预算安排情况说明</w:t>
      </w:r>
    </w:p>
    <w:p w14:paraId="224912BE">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国有资产占用情况说明</w:t>
      </w:r>
    </w:p>
    <w:p w14:paraId="6E5C9A95">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600" w:leftChars="0" w:firstLine="0"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rPr>
        <w:t>预算绩效目标情况说明</w:t>
      </w:r>
    </w:p>
    <w:p w14:paraId="2CAF366B">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第三部分：名词解释</w:t>
      </w:r>
    </w:p>
    <w:p w14:paraId="7E9D2C59">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第四部分：</w:t>
      </w:r>
      <w:r>
        <w:rPr>
          <w:rFonts w:hint="eastAsia" w:ascii="黑体" w:hAnsi="黑体" w:eastAsia="黑体" w:cs="黑体"/>
          <w:sz w:val="32"/>
          <w:szCs w:val="32"/>
          <w:lang w:val="en-US" w:eastAsia="zh-CN"/>
        </w:rPr>
        <w:t>南宁师范大学</w:t>
      </w:r>
      <w:r>
        <w:rPr>
          <w:rFonts w:hint="eastAsia" w:ascii="黑体" w:hAnsi="黑体" w:eastAsia="黑体" w:cs="黑体"/>
          <w:sz w:val="32"/>
          <w:szCs w:val="32"/>
        </w:rPr>
        <w:t>202</w:t>
      </w:r>
      <w:r>
        <w:rPr>
          <w:rFonts w:hint="eastAsia" w:ascii="黑体" w:hAnsi="黑体" w:eastAsia="黑体" w:cs="黑体"/>
          <w:sz w:val="32"/>
          <w:szCs w:val="32"/>
          <w:lang w:val="en-US" w:eastAsia="zh-CN"/>
        </w:rPr>
        <w:t>6</w:t>
      </w:r>
      <w:r>
        <w:rPr>
          <w:rFonts w:hint="eastAsia" w:ascii="黑体" w:hAnsi="黑体" w:eastAsia="黑体" w:cs="黑体"/>
          <w:sz w:val="32"/>
          <w:szCs w:val="32"/>
        </w:rPr>
        <w:t>年部门预算报表</w:t>
      </w:r>
    </w:p>
    <w:p w14:paraId="25D6F3E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5A12FF61">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2E86AA2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1D64837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13C57CD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5FFE854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70B3603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sectPr>
          <w:footerReference r:id="rId3" w:type="default"/>
          <w:pgSz w:w="11906" w:h="16838"/>
          <w:pgMar w:top="1440" w:right="1800" w:bottom="1440" w:left="1800" w:header="851" w:footer="992" w:gutter="0"/>
          <w:cols w:space="425" w:num="1"/>
          <w:docGrid w:type="lines" w:linePitch="312" w:charSpace="0"/>
        </w:sectPr>
      </w:pPr>
    </w:p>
    <w:p w14:paraId="5CE4EACB">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第一部分：部门概况</w:t>
      </w:r>
    </w:p>
    <w:p w14:paraId="4995311A">
      <w:pPr>
        <w:pStyle w:val="2"/>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南宁师范大学主要职能</w:t>
      </w:r>
    </w:p>
    <w:p w14:paraId="09694C5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南宁师范大学本级：按照《中华人民共和国高等教育法》的有关规定，学校开展以本科教育、研究生教育、职业教育、成人教育和留学生教育等高等教育活动，为国家、地方培养服务经济建设与社会发展的各类人才。南宁师范大学是广西壮族自治区属全日制普通本科师范院校，主要职能是进行教学、科研、培训，为社会输送高素质的人才，发挥学科、科研和人才资源优势，为地方经济发展提供师资力量、科技服务和智力支撑。</w:t>
      </w:r>
    </w:p>
    <w:p w14:paraId="04A7054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宋体" w:hAnsi="宋体" w:eastAsia="宋体" w:cs="宋体"/>
          <w:sz w:val="32"/>
          <w:szCs w:val="32"/>
        </w:rPr>
        <w:t xml:space="preserve">南宁师范大学附属实验学校：根据《关于自治区教育厅所属事业单位清理规范意见的通知》（桂编〔2013〕123号文）规定，附属实验学校的基本职能是实施义务教育，促进基础教育发展。 </w:t>
      </w:r>
      <w:r>
        <w:rPr>
          <w:rFonts w:hint="eastAsia" w:ascii="黑体" w:hAnsi="黑体" w:eastAsia="黑体" w:cs="黑体"/>
          <w:sz w:val="32"/>
          <w:szCs w:val="32"/>
        </w:rPr>
        <w:t xml:space="preserve"> </w:t>
      </w:r>
    </w:p>
    <w:p w14:paraId="6DDAE4C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二、机构设置情况</w:t>
      </w:r>
    </w:p>
    <w:p w14:paraId="77F8749D">
      <w:pPr>
        <w:spacing w:line="560" w:lineRule="exact"/>
        <w:ind w:firstLine="640" w:firstLineChars="200"/>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南宁师范大学本级：根据《广西壮族自治区党委机构编制委员会关于印发〈自治区党委编办关于调整自治区教育厅所属事业单位机构编制事项的批复〉》（桂编办复〔2019〕115号）精神，南宁师范大学为公益二类事业单位。学校本级共设置党政管理机构18个，教辅机构和直属业务部门10个，教学科研机构24个，附属机构3个。根据自治区编委《关于调整自治区教育厅所属事业单位机构编制事项的批复》（桂编办复〔2019〕115号）规定，南宁师范大学事业编制人员1441名，工勤人员编制数50人，后勤服务控制数中的老办法聘用20人，非实名编制控制数603人，离退休人员1081人，工资标准和社会保障缴费按照《广西壮族自治区人民政府办公厅转发人力资源社会保障厅财政厅关于调整机关事业单位工作人员基本工资标准和增加离退休人员离退休费三个实施意见的通知》（桂政办发〔2015〕55号）执行。南宁师范大学在校生数</w:t>
      </w:r>
      <w:r>
        <w:rPr>
          <w:rFonts w:hint="eastAsia" w:ascii="宋体" w:hAnsi="宋体" w:cs="宋体"/>
          <w:kern w:val="2"/>
          <w:sz w:val="32"/>
          <w:szCs w:val="32"/>
          <w:lang w:val="en-US" w:eastAsia="zh-CN" w:bidi="ar-SA"/>
        </w:rPr>
        <w:t>32596</w:t>
      </w:r>
      <w:r>
        <w:rPr>
          <w:rFonts w:hint="eastAsia" w:ascii="宋体" w:hAnsi="宋体" w:eastAsia="宋体" w:cs="宋体"/>
          <w:kern w:val="2"/>
          <w:sz w:val="32"/>
          <w:szCs w:val="32"/>
          <w:lang w:val="en-US" w:eastAsia="zh-CN" w:bidi="ar-SA"/>
        </w:rPr>
        <w:t>人，其中：本科生28</w:t>
      </w:r>
      <w:r>
        <w:rPr>
          <w:rFonts w:hint="eastAsia" w:ascii="宋体" w:hAnsi="宋体" w:cs="宋体"/>
          <w:kern w:val="2"/>
          <w:sz w:val="32"/>
          <w:szCs w:val="32"/>
          <w:lang w:val="en-US" w:eastAsia="zh-CN" w:bidi="ar-SA"/>
        </w:rPr>
        <w:t>585</w:t>
      </w:r>
      <w:r>
        <w:rPr>
          <w:rFonts w:hint="eastAsia" w:ascii="宋体" w:hAnsi="宋体" w:eastAsia="宋体" w:cs="宋体"/>
          <w:kern w:val="2"/>
          <w:sz w:val="32"/>
          <w:szCs w:val="32"/>
          <w:lang w:val="en-US" w:eastAsia="zh-CN" w:bidi="ar-SA"/>
        </w:rPr>
        <w:t>人、专科生</w:t>
      </w:r>
      <w:r>
        <w:rPr>
          <w:rFonts w:hint="eastAsia" w:ascii="宋体" w:hAnsi="宋体" w:cs="宋体"/>
          <w:kern w:val="2"/>
          <w:sz w:val="32"/>
          <w:szCs w:val="32"/>
          <w:lang w:val="en-US" w:eastAsia="zh-CN" w:bidi="ar-SA"/>
        </w:rPr>
        <w:t>90</w:t>
      </w:r>
      <w:r>
        <w:rPr>
          <w:rFonts w:hint="eastAsia" w:ascii="宋体" w:hAnsi="宋体" w:eastAsia="宋体" w:cs="宋体"/>
          <w:kern w:val="2"/>
          <w:sz w:val="32"/>
          <w:szCs w:val="32"/>
          <w:lang w:val="en-US" w:eastAsia="zh-CN" w:bidi="ar-SA"/>
        </w:rPr>
        <w:t>人、研究生</w:t>
      </w:r>
      <w:r>
        <w:rPr>
          <w:rFonts w:hint="eastAsia" w:ascii="宋体" w:hAnsi="宋体" w:cs="宋体"/>
          <w:kern w:val="2"/>
          <w:sz w:val="32"/>
          <w:szCs w:val="32"/>
          <w:lang w:val="en-US" w:eastAsia="zh-CN" w:bidi="ar-SA"/>
        </w:rPr>
        <w:t>3823</w:t>
      </w:r>
      <w:r>
        <w:rPr>
          <w:rFonts w:hint="eastAsia" w:ascii="宋体" w:hAnsi="宋体" w:eastAsia="宋体" w:cs="宋体"/>
          <w:kern w:val="2"/>
          <w:sz w:val="32"/>
          <w:szCs w:val="32"/>
          <w:lang w:val="en-US" w:eastAsia="zh-CN" w:bidi="ar-SA"/>
        </w:rPr>
        <w:t>人、留学生人数</w:t>
      </w:r>
      <w:r>
        <w:rPr>
          <w:rFonts w:hint="eastAsia" w:ascii="宋体" w:hAnsi="宋体" w:cs="宋体"/>
          <w:kern w:val="2"/>
          <w:sz w:val="32"/>
          <w:szCs w:val="32"/>
          <w:lang w:val="en-US" w:eastAsia="zh-CN" w:bidi="ar-SA"/>
        </w:rPr>
        <w:t>98</w:t>
      </w:r>
      <w:r>
        <w:rPr>
          <w:rFonts w:hint="eastAsia" w:ascii="宋体" w:hAnsi="宋体" w:eastAsia="宋体" w:cs="宋体"/>
          <w:kern w:val="2"/>
          <w:sz w:val="32"/>
          <w:szCs w:val="32"/>
          <w:lang w:val="en-US" w:eastAsia="zh-CN" w:bidi="ar-SA"/>
        </w:rPr>
        <w:t>人。</w:t>
      </w:r>
    </w:p>
    <w:p w14:paraId="27E4D66B">
      <w:pPr>
        <w:spacing w:line="560" w:lineRule="exact"/>
        <w:ind w:firstLine="640" w:firstLineChars="200"/>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南宁师范大学附属实验学校：机构设置由校长办公室、政教室、总务办、财务室、信息办、安全与维稳办公室、工会等部门组成。根据桂编局〔1988〕47号文件规定，南宁师范大学附属实验学校事业编制44名，现有在职在编职工42名，退休职工33名。</w:t>
      </w:r>
    </w:p>
    <w:p w14:paraId="3FCBF0D2">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第二部分：</w:t>
      </w:r>
      <w:r>
        <w:rPr>
          <w:rFonts w:hint="eastAsia" w:ascii="黑体" w:hAnsi="黑体" w:eastAsia="黑体" w:cs="黑体"/>
          <w:sz w:val="32"/>
          <w:szCs w:val="32"/>
          <w:lang w:val="en-US" w:eastAsia="zh-CN"/>
        </w:rPr>
        <w:t>南宁师范大学</w:t>
      </w:r>
      <w:r>
        <w:rPr>
          <w:rFonts w:hint="eastAsia" w:ascii="黑体" w:hAnsi="黑体" w:eastAsia="黑体" w:cs="黑体"/>
          <w:sz w:val="32"/>
          <w:szCs w:val="32"/>
        </w:rPr>
        <w:t>202</w:t>
      </w:r>
      <w:r>
        <w:rPr>
          <w:rFonts w:hint="eastAsia" w:ascii="黑体" w:hAnsi="黑体" w:eastAsia="黑体" w:cs="黑体"/>
          <w:sz w:val="32"/>
          <w:szCs w:val="32"/>
          <w:lang w:val="en-US" w:eastAsia="zh-CN"/>
        </w:rPr>
        <w:t>6</w:t>
      </w:r>
      <w:r>
        <w:rPr>
          <w:rFonts w:hint="eastAsia" w:ascii="黑体" w:hAnsi="黑体" w:eastAsia="黑体" w:cs="黑体"/>
          <w:sz w:val="32"/>
          <w:szCs w:val="32"/>
        </w:rPr>
        <w:t>年部门预算情况说明</w:t>
      </w:r>
    </w:p>
    <w:p w14:paraId="6D639A1C">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一、部门预算收支增减变化情况说明</w:t>
      </w:r>
    </w:p>
    <w:p w14:paraId="60263AC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202</w:t>
      </w:r>
      <w:r>
        <w:rPr>
          <w:rFonts w:hint="eastAsia" w:hAnsi="宋体" w:cs="宋体"/>
          <w:kern w:val="2"/>
          <w:sz w:val="32"/>
          <w:szCs w:val="32"/>
          <w:lang w:val="en-US" w:eastAsia="zh-CN" w:bidi="ar-SA"/>
        </w:rPr>
        <w:t>6</w:t>
      </w:r>
      <w:r>
        <w:rPr>
          <w:rFonts w:hint="eastAsia" w:ascii="宋体" w:hAnsi="宋体" w:eastAsia="宋体" w:cs="宋体"/>
          <w:kern w:val="2"/>
          <w:sz w:val="32"/>
          <w:szCs w:val="32"/>
          <w:lang w:val="en-US" w:eastAsia="zh-CN" w:bidi="ar-SA"/>
        </w:rPr>
        <w:t>年收入总预算128,777.38万元，同比减少2,539.49万元，下降1.93％</w:t>
      </w:r>
      <w:r>
        <w:rPr>
          <w:rFonts w:hint="eastAsia" w:hAnsi="宋体" w:cs="宋体"/>
          <w:kern w:val="2"/>
          <w:sz w:val="32"/>
          <w:szCs w:val="32"/>
          <w:lang w:val="en-US" w:eastAsia="zh-CN" w:bidi="ar-SA"/>
        </w:rPr>
        <w:t>，</w:t>
      </w:r>
      <w:r>
        <w:rPr>
          <w:rFonts w:hint="eastAsia" w:ascii="宋体" w:hAnsi="宋体" w:eastAsia="宋体" w:cs="宋体"/>
          <w:kern w:val="2"/>
          <w:sz w:val="32"/>
          <w:szCs w:val="32"/>
          <w:lang w:val="en-US" w:eastAsia="zh-CN" w:bidi="ar-SA"/>
        </w:rPr>
        <w:t>减少原因主要</w:t>
      </w:r>
      <w:r>
        <w:rPr>
          <w:rFonts w:hint="eastAsia" w:hAnsi="宋体" w:cs="宋体"/>
          <w:kern w:val="2"/>
          <w:sz w:val="32"/>
          <w:szCs w:val="32"/>
          <w:lang w:val="en-US" w:eastAsia="zh-CN" w:bidi="ar-SA"/>
        </w:rPr>
        <w:t>是</w:t>
      </w:r>
      <w:r>
        <w:rPr>
          <w:rFonts w:hint="eastAsia" w:ascii="宋体" w:hAnsi="宋体" w:eastAsia="宋体" w:cs="宋体"/>
          <w:kern w:val="2"/>
          <w:sz w:val="32"/>
          <w:szCs w:val="32"/>
          <w:lang w:val="en-US" w:eastAsia="zh-CN" w:bidi="ar-SA"/>
        </w:rPr>
        <w:t>2026年部分预算金额较大财政专项已经到期，如“南宁师范大学专项补助”“广西教育学院并入南宁师范大学过渡期补助”“学位与研究生教育专项经费”等项目在2026年已无预算安排，项目</w:t>
      </w:r>
      <w:r>
        <w:rPr>
          <w:rFonts w:hint="eastAsia" w:hAnsi="宋体" w:cs="宋体"/>
          <w:kern w:val="2"/>
          <w:sz w:val="32"/>
          <w:szCs w:val="32"/>
          <w:lang w:val="en-US" w:eastAsia="zh-CN" w:bidi="ar-SA"/>
        </w:rPr>
        <w:t>财政</w:t>
      </w:r>
      <w:r>
        <w:rPr>
          <w:rFonts w:hint="eastAsia" w:ascii="宋体" w:hAnsi="宋体" w:eastAsia="宋体" w:cs="宋体"/>
          <w:kern w:val="2"/>
          <w:sz w:val="32"/>
          <w:szCs w:val="32"/>
          <w:lang w:val="en-US" w:eastAsia="zh-CN" w:bidi="ar-SA"/>
        </w:rPr>
        <w:t>拨款收入减少，其中“南宁师范大学专项补助”项目2025年预算为5,200万元，用于偿还新校区债务利息，项目由学校盘活五合校区土地资源，将收入上缴后逐年以项目形式回拨形成项目拨款，2025年为最后一年下拨；“广西教育学院并入南宁师范大学过渡期补助”项目周期为3年，2023年开始，至2025年，每年项目拨款为3,000万元；“学位与研究生教育专项经费”2025年预算为1000万元，用于支持我校博士点专业建设，2025年我校博士招生专业已成功获批，因此2026年上级不再下达相关经费指标。</w:t>
      </w:r>
    </w:p>
    <w:p w14:paraId="1B132C2B">
      <w:pPr>
        <w:spacing w:line="560" w:lineRule="exact"/>
        <w:ind w:firstLine="640" w:firstLineChars="200"/>
        <w:rPr>
          <w:rFonts w:hint="default" w:ascii="宋体" w:hAnsi="宋体" w:eastAsia="宋体" w:cs="宋体"/>
          <w:kern w:val="2"/>
          <w:sz w:val="32"/>
          <w:szCs w:val="32"/>
          <w:lang w:val="en-US" w:eastAsia="zh-CN" w:bidi="ar-SA"/>
        </w:rPr>
      </w:pPr>
      <w:r>
        <w:rPr>
          <w:rFonts w:hint="default" w:ascii="宋体" w:hAnsi="宋体" w:eastAsia="宋体" w:cs="宋体"/>
          <w:kern w:val="2"/>
          <w:sz w:val="32"/>
          <w:szCs w:val="32"/>
          <w:lang w:val="en-US" w:eastAsia="zh-CN" w:bidi="ar-SA"/>
        </w:rPr>
        <w:t>2026年支出预算128,777.38万元，同比减少2,539.49万元，下降1.93％</w:t>
      </w:r>
      <w:r>
        <w:rPr>
          <w:rFonts w:hint="eastAsia" w:ascii="宋体" w:hAnsi="宋体" w:cs="宋体"/>
          <w:kern w:val="2"/>
          <w:sz w:val="32"/>
          <w:szCs w:val="32"/>
          <w:lang w:val="en-US" w:eastAsia="zh-CN" w:bidi="ar-SA"/>
        </w:rPr>
        <w:t>，减少原因为</w:t>
      </w:r>
      <w:r>
        <w:rPr>
          <w:rFonts w:hint="eastAsia" w:ascii="宋体" w:hAnsi="宋体" w:eastAsia="宋体" w:cs="宋体"/>
          <w:kern w:val="2"/>
          <w:sz w:val="32"/>
          <w:szCs w:val="32"/>
          <w:lang w:val="en-US" w:eastAsia="zh-CN" w:bidi="ar-SA"/>
        </w:rPr>
        <w:t>2026年部分预算金额较大财政专项已经到期（同上段），财政专项支出相应下降。</w:t>
      </w:r>
    </w:p>
    <w:p w14:paraId="64ADF08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二、部门预算收入总体情况说明</w:t>
      </w:r>
    </w:p>
    <w:p w14:paraId="1FEF4DD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宋体" w:cs="宋体"/>
          <w:kern w:val="2"/>
          <w:sz w:val="32"/>
          <w:szCs w:val="32"/>
          <w:lang w:val="en-US" w:eastAsia="zh-CN" w:bidi="ar-SA"/>
        </w:rPr>
      </w:pPr>
      <w:r>
        <w:rPr>
          <w:rFonts w:hint="eastAsia" w:ascii="宋体" w:hAnsi="宋体" w:eastAsia="宋体" w:cs="宋体"/>
          <w:kern w:val="2"/>
          <w:sz w:val="32"/>
          <w:szCs w:val="32"/>
          <w:lang w:val="en-US" w:eastAsia="zh-CN" w:bidi="ar-SA"/>
        </w:rPr>
        <w:t>2026年</w:t>
      </w:r>
      <w:r>
        <w:rPr>
          <w:rFonts w:hint="eastAsia" w:hAnsi="宋体" w:cs="宋体"/>
          <w:kern w:val="2"/>
          <w:sz w:val="32"/>
          <w:szCs w:val="32"/>
          <w:lang w:val="en-US" w:eastAsia="zh-CN" w:bidi="ar-SA"/>
        </w:rPr>
        <w:t>收入</w:t>
      </w:r>
      <w:r>
        <w:rPr>
          <w:rFonts w:hint="eastAsia" w:ascii="宋体" w:hAnsi="宋体" w:eastAsia="宋体" w:cs="宋体"/>
          <w:kern w:val="2"/>
          <w:sz w:val="32"/>
          <w:szCs w:val="32"/>
          <w:lang w:val="en-US" w:eastAsia="zh-CN" w:bidi="ar-SA"/>
        </w:rPr>
        <w:t>预算128,777.38万元，同比减少2,539.49万元，下降1.93％。</w:t>
      </w:r>
      <w:r>
        <w:rPr>
          <w:rFonts w:hint="eastAsia" w:hAnsi="宋体" w:cs="宋体"/>
          <w:kern w:val="2"/>
          <w:sz w:val="32"/>
          <w:szCs w:val="32"/>
          <w:lang w:val="en-US" w:eastAsia="zh-CN" w:bidi="ar-SA"/>
        </w:rPr>
        <w:t>其中：</w:t>
      </w:r>
    </w:p>
    <w:p w14:paraId="4E6C5A2B">
      <w:pPr>
        <w:pStyle w:val="2"/>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一般公共预算收入57,470.10万元，同比减少5,164.89万元，下降8.25％，减少原因主要</w:t>
      </w:r>
      <w:r>
        <w:rPr>
          <w:rFonts w:hint="eastAsia" w:hAnsi="宋体" w:cs="宋体"/>
          <w:kern w:val="2"/>
          <w:sz w:val="32"/>
          <w:szCs w:val="32"/>
          <w:lang w:val="en-US" w:eastAsia="zh-CN" w:bidi="ar-SA"/>
        </w:rPr>
        <w:t>是</w:t>
      </w:r>
      <w:r>
        <w:rPr>
          <w:rFonts w:hint="eastAsia" w:ascii="宋体" w:hAnsi="宋体" w:eastAsia="宋体" w:cs="宋体"/>
          <w:kern w:val="2"/>
          <w:sz w:val="32"/>
          <w:szCs w:val="32"/>
          <w:lang w:val="en-US" w:eastAsia="zh-CN" w:bidi="ar-SA"/>
        </w:rPr>
        <w:t>2026年部分预算金额较大财政专项已经到期，如“南宁师范大学专项补助”“广西教育学院并入南宁师范大学过渡期补助”“学位与研究生教育专项经费”等项目在2026年已无预算安排，项目</w:t>
      </w:r>
      <w:r>
        <w:rPr>
          <w:rFonts w:hint="eastAsia" w:hAnsi="宋体" w:cs="宋体"/>
          <w:kern w:val="2"/>
          <w:sz w:val="32"/>
          <w:szCs w:val="32"/>
          <w:lang w:val="en-US" w:eastAsia="zh-CN" w:bidi="ar-SA"/>
        </w:rPr>
        <w:t>财政</w:t>
      </w:r>
      <w:r>
        <w:rPr>
          <w:rFonts w:hint="eastAsia" w:ascii="宋体" w:hAnsi="宋体" w:eastAsia="宋体" w:cs="宋体"/>
          <w:kern w:val="2"/>
          <w:sz w:val="32"/>
          <w:szCs w:val="32"/>
          <w:lang w:val="en-US" w:eastAsia="zh-CN" w:bidi="ar-SA"/>
        </w:rPr>
        <w:t>拨款收入减少，其中“南宁师范大学专项补助”项目2025年预算为5,200万元，用于偿还新校区债务利息，项目由学校盘活五合校区土地资源，将收入上缴后逐年以项目形式回拨形成项目拨款，2025年为最后一年下拨；“广西教育学院并入南宁师范大学过渡期补助”项目周期为3年，2023年开始，至2025年，每年项目拨款为3,000万元；“学位与研究生教育专项经费”2025年预算为1000万元，用于支持我校博士点专业建设，2025年我校博士招生专业已成功获批，因此2026年上级不再下达相关经费指标。</w:t>
      </w:r>
    </w:p>
    <w:p w14:paraId="0D471809">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（2）政府性基金预算收入20万元，同比减少28万元，下降79.17％，减少原因主要为2026年比2025年减少“中央专项彩票公益金支持大学生创新创业项目”财政专项。</w:t>
      </w:r>
    </w:p>
    <w:p w14:paraId="2305985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（3）国有资本经营预算收入0万元</w:t>
      </w:r>
      <w:r>
        <w:rPr>
          <w:rFonts w:hint="eastAsia" w:hAnsi="宋体" w:cs="宋体"/>
          <w:kern w:val="2"/>
          <w:sz w:val="32"/>
          <w:szCs w:val="32"/>
          <w:lang w:val="en-US" w:eastAsia="zh-CN" w:bidi="ar-SA"/>
        </w:rPr>
        <w:t>，同比增加0万元，增长0％。</w:t>
      </w:r>
    </w:p>
    <w:p w14:paraId="67873E7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（4）财政专户管理资金收入49,323.78万元，同比增加2,579.29万元，增长5.52％，增加原因为学校连续几年实现扩招，学费、住宿费等非税收入增加。</w:t>
      </w:r>
    </w:p>
    <w:p w14:paraId="2A08D8A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（5）单位资金收入11,260.00万元，同比减少440万元，下降3.76％。</w:t>
      </w:r>
    </w:p>
    <w:p w14:paraId="0B3ED00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hAnsi="宋体" w:cs="宋体"/>
          <w:kern w:val="2"/>
          <w:sz w:val="32"/>
          <w:szCs w:val="32"/>
          <w:lang w:val="en-US" w:eastAsia="zh-CN" w:bidi="ar-SA"/>
        </w:rPr>
      </w:pPr>
      <w:r>
        <w:rPr>
          <w:rFonts w:hint="eastAsia" w:ascii="宋体" w:hAnsi="宋体" w:eastAsia="宋体" w:cs="宋体"/>
          <w:kern w:val="2"/>
          <w:sz w:val="32"/>
          <w:szCs w:val="32"/>
          <w:lang w:val="en-US" w:eastAsia="zh-CN" w:bidi="ar-SA"/>
        </w:rPr>
        <w:t>（6）上年结转结余10,703.49万元，同比增加514.10万元，增长5.05％。</w:t>
      </w:r>
    </w:p>
    <w:p w14:paraId="322319DB">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三、部门预算支出总体情况说明</w:t>
      </w:r>
    </w:p>
    <w:p w14:paraId="0B9DFE66">
      <w:pPr>
        <w:spacing w:line="560" w:lineRule="exact"/>
        <w:ind w:firstLine="640" w:firstLineChars="200"/>
        <w:rPr>
          <w:rFonts w:hint="eastAsia" w:ascii="宋体" w:hAnsi="宋体" w:eastAsia="宋体" w:cs="宋体"/>
          <w:kern w:val="2"/>
          <w:sz w:val="32"/>
          <w:szCs w:val="32"/>
          <w:lang w:val="en" w:eastAsia="zh-CN" w:bidi="ar-SA"/>
        </w:rPr>
      </w:pPr>
      <w:r>
        <w:rPr>
          <w:rFonts w:hint="eastAsia" w:ascii="宋体" w:hAnsi="宋体" w:eastAsia="宋体" w:cs="宋体"/>
          <w:color w:val="auto"/>
          <w:kern w:val="2"/>
          <w:sz w:val="32"/>
          <w:szCs w:val="32"/>
          <w:lang w:val="en" w:eastAsia="zh-CN" w:bidi="ar-SA"/>
        </w:rPr>
        <w:t>2026年支出预算128,777.38万元，同</w:t>
      </w:r>
      <w:r>
        <w:rPr>
          <w:rFonts w:hint="eastAsia" w:ascii="宋体" w:hAnsi="宋体" w:eastAsia="宋体" w:cs="宋体"/>
          <w:kern w:val="2"/>
          <w:sz w:val="32"/>
          <w:szCs w:val="32"/>
          <w:lang w:val="en" w:eastAsia="zh-CN" w:bidi="ar-SA"/>
        </w:rPr>
        <w:t>比减少2,539.49万元，下降1.93％。其中：</w:t>
      </w:r>
    </w:p>
    <w:p w14:paraId="224A4EE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 w:eastAsia="zh-CN" w:bidi="ar-SA"/>
        </w:rPr>
      </w:pPr>
      <w:r>
        <w:rPr>
          <w:rFonts w:hint="eastAsia" w:ascii="宋体" w:hAnsi="宋体" w:eastAsia="宋体" w:cs="宋体"/>
          <w:kern w:val="2"/>
          <w:sz w:val="32"/>
          <w:szCs w:val="32"/>
          <w:lang w:val="en" w:eastAsia="zh-CN" w:bidi="ar-SA"/>
        </w:rPr>
        <w:t>（1）本年支出预算128,777.38万元，同比减少2,539.49万元，下降1.93％。</w:t>
      </w:r>
    </w:p>
    <w:p w14:paraId="576B76F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 w:eastAsia="zh-CN" w:bidi="ar-SA"/>
        </w:rPr>
      </w:pPr>
      <w:r>
        <w:rPr>
          <w:rFonts w:hint="eastAsia" w:ascii="宋体" w:hAnsi="宋体" w:eastAsia="宋体" w:cs="宋体"/>
          <w:kern w:val="2"/>
          <w:sz w:val="32"/>
          <w:szCs w:val="32"/>
          <w:lang w:val="en" w:eastAsia="zh-CN" w:bidi="ar-SA"/>
        </w:rPr>
        <w:t>①按支出功能分类科目划分，共分为10类，其中：</w:t>
      </w:r>
    </w:p>
    <w:p w14:paraId="1D111281">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 w:eastAsia="zh-CN" w:bidi="ar-SA"/>
        </w:rPr>
      </w:pPr>
      <w:r>
        <w:rPr>
          <w:rFonts w:hint="eastAsia" w:ascii="宋体" w:hAnsi="宋体" w:eastAsia="宋体" w:cs="宋体"/>
          <w:kern w:val="2"/>
          <w:sz w:val="32"/>
          <w:szCs w:val="32"/>
          <w:lang w:val="en" w:eastAsia="zh-CN" w:bidi="ar-SA"/>
        </w:rPr>
        <w:t>高等教育类科目支出122,428.95万元，占本年支出预算95.07％，同比减少1,946.15万元，下降1.56％，支出减少主要原因为：2026年部分预算金额较大财政专项已经到期，如“南宁师范大学专项补助”“广西教育学院并入南宁师范大学过渡期补助”“学位与研究生教育专项经费”等项目在2026年已无预算安排，项目支出相应减少，其中“南宁师范大学专项补助”项目2025年预算为5,200万元，用于偿还新校区债务利息，项目由学校盘活五合校区土地资源，将收入上缴后逐年以项目形式回拨形成项目拨款，2025年为最后一年下拨；“广西教育学院并入南宁师范大学过渡期补助”项目周期为3年，2023年开始，至2025年，每年项目拨款为3,000万元；“学位与研究生教育专项经费”2025年预算为1000万元，用于支持我校博士点专业建设，2025年我校博士招生专业已成功获批，因此2026年上级不再下达相关经费指标；小学教育类科目支出1,011.31万元，占本年支出预算0.79％</w:t>
      </w:r>
      <w:r>
        <w:rPr>
          <w:rFonts w:hint="eastAsia" w:ascii="宋体" w:hAnsi="宋体" w:eastAsia="宋体" w:cs="宋体"/>
          <w:kern w:val="2"/>
          <w:sz w:val="32"/>
          <w:szCs w:val="32"/>
          <w:lang w:val="en" w:eastAsia="zh-CN" w:bidi="ar-SA"/>
        </w:rPr>
        <w:t>，同比减少1,688.41万元，下降</w:t>
      </w:r>
      <w:r>
        <w:rPr>
          <w:rFonts w:hint="eastAsia" w:ascii="宋体" w:hAnsi="宋体" w:eastAsia="宋体" w:cs="宋体"/>
          <w:kern w:val="2"/>
          <w:sz w:val="32"/>
          <w:szCs w:val="32"/>
          <w:lang w:val="en-US" w:eastAsia="zh-CN" w:bidi="ar-SA"/>
        </w:rPr>
        <w:t>62.54</w:t>
      </w:r>
      <w:r>
        <w:rPr>
          <w:rFonts w:hint="eastAsia" w:ascii="宋体" w:hAnsi="宋体" w:eastAsia="宋体" w:cs="宋体"/>
          <w:kern w:val="2"/>
          <w:sz w:val="32"/>
          <w:szCs w:val="32"/>
          <w:lang w:val="en" w:eastAsia="zh-CN" w:bidi="ar-SA"/>
        </w:rPr>
        <w:t>％</w:t>
      </w:r>
      <w:r>
        <w:rPr>
          <w:rFonts w:hint="eastAsia" w:ascii="宋体" w:hAnsi="宋体" w:eastAsia="宋体" w:cs="宋体"/>
          <w:kern w:val="2"/>
          <w:sz w:val="32"/>
          <w:szCs w:val="32"/>
          <w:lang w:val="en" w:eastAsia="zh-CN" w:bidi="ar-SA"/>
        </w:rPr>
        <w:t>；事业单位离退休类科目支出 725.45万元，占本年支出预算0.56％，同比增加69.88万元，增长10.66％；机关事业单位基本养老保险缴费类科目支出1,568.17万元，占本年支出预算1.22％，同比增加267.35万元，增长20.55％；机关事业单位职业年金缴费类科目支出784.09万元，占本年支出预算0.61％，同比增加133.68万元，增长20.55％；事业单位医疗类科目支出725.28万元，占本年支出预算0.56％，同比增加123.65万元，增长20.55％；住房公积金类科目支出1,176.13万元，占本年支出预算0.91％，同比增加200.51万元，增长20.55％；用于教育或体育事业的彩票公益金支出20.00万元</w:t>
      </w:r>
      <w:r>
        <w:rPr>
          <w:rFonts w:hint="eastAsia" w:hAnsi="宋体" w:cs="宋体"/>
          <w:kern w:val="2"/>
          <w:sz w:val="32"/>
          <w:szCs w:val="32"/>
          <w:lang w:val="en" w:eastAsia="zh-CN" w:bidi="ar-SA"/>
        </w:rPr>
        <w:t>，</w:t>
      </w:r>
      <w:r>
        <w:rPr>
          <w:rFonts w:hint="eastAsia" w:ascii="宋体" w:hAnsi="宋体" w:eastAsia="宋体" w:cs="宋体"/>
          <w:kern w:val="2"/>
          <w:sz w:val="32"/>
          <w:szCs w:val="32"/>
          <w:lang w:val="en" w:eastAsia="zh-CN" w:bidi="ar-SA"/>
        </w:rPr>
        <w:t>占本年支出预算0.02％，同比减少28万元，下降58.33％。社保福利类的支出增长明显一是因为根据上级文件精神在编人员基本工资调增，基本工资对应的社保福利按比例增加，二是因为根据学校最新绩效工资核定方案，在职人员绩效工资调整。</w:t>
      </w:r>
    </w:p>
    <w:p w14:paraId="421B13C1">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 w:eastAsia="zh-CN" w:bidi="ar-SA"/>
        </w:rPr>
      </w:pPr>
      <w:r>
        <w:rPr>
          <w:rFonts w:hint="eastAsia" w:ascii="宋体" w:hAnsi="宋体" w:eastAsia="宋体" w:cs="宋体"/>
          <w:kern w:val="2"/>
          <w:sz w:val="32"/>
          <w:szCs w:val="32"/>
          <w:lang w:val="en" w:eastAsia="zh-CN" w:bidi="ar-SA"/>
        </w:rPr>
        <w:t>②按支出结构分类划分，分为基本支出预算和项目支出预算。</w:t>
      </w:r>
    </w:p>
    <w:p w14:paraId="51CFD36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 w:eastAsia="zh-CN" w:bidi="ar-SA"/>
        </w:rPr>
      </w:pPr>
      <w:r>
        <w:rPr>
          <w:rFonts w:hint="eastAsia" w:ascii="宋体" w:hAnsi="宋体" w:eastAsia="宋体" w:cs="宋体"/>
          <w:kern w:val="2"/>
          <w:sz w:val="32"/>
          <w:szCs w:val="32"/>
          <w:lang w:val="en" w:eastAsia="zh-CN" w:bidi="ar-SA"/>
        </w:rPr>
        <w:t>基本支出预算54,070.90万元，占本年支出预算41.99％，同比增加4,753.20万元，增长9.64％。其中：</w:t>
      </w:r>
    </w:p>
    <w:p w14:paraId="2369654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 w:eastAsia="zh-CN" w:bidi="ar-SA"/>
        </w:rPr>
      </w:pPr>
      <w:r>
        <w:rPr>
          <w:rFonts w:hint="eastAsia" w:ascii="宋体" w:hAnsi="宋体" w:eastAsia="宋体" w:cs="宋体"/>
          <w:kern w:val="2"/>
          <w:sz w:val="32"/>
          <w:szCs w:val="32"/>
          <w:lang w:val="en" w:eastAsia="zh-CN" w:bidi="ar-SA"/>
        </w:rPr>
        <w:t>人员经费预算52,799.06万元，占基本支出预算97.65％，同比增加4,920.04万元，增长10.28％。其中：工资福利支出预算48,710.25万元，占基本支出预算90.09％，同比增加4,634.56万元，增长10.52％；对个人和家庭的补助预算4,088.81万元，占基本支出预算7.56％，同比增加285.48万元，增长7.51％。支出增加一是因为在职人员工资及社保福利提升，人员经费支出增加；二是因为我校2026年比2025年减少了用于补充人员经费开支的“广西教育学院并入南宁师范大学过渡期补助”的财政专项3000万元，为了维持学校教职工队伍待遇稳定，2026年通过自筹经费在基本支出中增加人员经费安排进行弥补。</w:t>
      </w:r>
    </w:p>
    <w:p w14:paraId="65805C5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 w:eastAsia="zh-CN" w:bidi="ar-SA"/>
        </w:rPr>
      </w:pPr>
      <w:r>
        <w:rPr>
          <w:rFonts w:hint="eastAsia" w:ascii="宋体" w:hAnsi="宋体" w:eastAsia="宋体" w:cs="宋体"/>
          <w:kern w:val="2"/>
          <w:sz w:val="32"/>
          <w:szCs w:val="32"/>
          <w:lang w:val="en" w:eastAsia="zh-CN" w:bidi="ar-SA"/>
        </w:rPr>
        <w:t>公用经费（商品和服务支出）预算1,271.84万元，占基本支出预算2.35％，同比减少166.85万元，下降11.16％。其中：其他商品和服务支出科目预算743.19万元，占公用经费预算58.43％，具体用于安排离退休公用支出与单位食堂运转经费。公用经费（商品和服务支出）预算较2025年预算下降原因为我校2026年比2025年减少了用于补充人员经费开支的“广西教育学院并入南宁师范大学过渡期补助”财政专项3000万元，为了维持学校教职工队伍待遇稳定，根据学校预算执行与资金统筹使用合理性等方面需求，2026年增加基本支出所安排的人员经费，公用经费支出相应减少，主要通过项目支出安排学校运转经费。</w:t>
      </w:r>
    </w:p>
    <w:p w14:paraId="7393C54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 w:eastAsia="zh-CN" w:bidi="ar-SA"/>
        </w:rPr>
      </w:pPr>
      <w:r>
        <w:rPr>
          <w:rFonts w:hint="eastAsia" w:ascii="宋体" w:hAnsi="宋体" w:eastAsia="宋体" w:cs="宋体"/>
          <w:kern w:val="2"/>
          <w:sz w:val="32"/>
          <w:szCs w:val="32"/>
          <w:lang w:val="en" w:eastAsia="zh-CN" w:bidi="ar-SA"/>
        </w:rPr>
        <w:t>项目支出预算74,638.76万元，占本年支出预算58.01％，同比减少7,292.69万元，下降8.89％，减少主要原因为：2026年部分预算金额较大财政专项已经到期，如“南宁师范大学专项补助”“广西教育学院并入南宁师范大学过渡期补助”“学位与研究生教育专项经费”等项目在2026年已无预算安排，项目支出相应减少，其中“南宁师范大学专项补助”项目2025年预算为5,200万元，用于偿还新校区债务利息，项目由学校盘活五合校区土地资源，将收入上缴后逐年以项目形式回拨形成项目拨款，2025年为最后一年下拨；“广西教育学院并入南宁师范大学过渡期补助”项目周期为3年，2023年开始，至2025年，每年项目拨款为3,000万元；“学位与研究生教育专项经费”2025年预算为1000万元，用于支持我校博士点专业建设，2025年我校博士招生专业已成功获批，因此2026年上级不再下达相关经费指标。</w:t>
      </w:r>
    </w:p>
    <w:p w14:paraId="0DF7A0C3">
      <w:pPr>
        <w:pStyle w:val="2"/>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宋体" w:hAnsi="宋体" w:eastAsia="宋体" w:cs="宋体"/>
          <w:kern w:val="2"/>
          <w:sz w:val="32"/>
          <w:szCs w:val="32"/>
          <w:lang w:val="en" w:eastAsia="zh-CN" w:bidi="ar-SA"/>
        </w:rPr>
      </w:pPr>
      <w:r>
        <w:rPr>
          <w:rFonts w:hint="eastAsia" w:ascii="宋体" w:hAnsi="宋体" w:eastAsia="宋体" w:cs="宋体"/>
          <w:kern w:val="2"/>
          <w:sz w:val="32"/>
          <w:szCs w:val="32"/>
          <w:lang w:val="en" w:eastAsia="zh-CN" w:bidi="ar-SA"/>
        </w:rPr>
        <w:t>结转下年支出预算0万元，同比不变。</w:t>
      </w:r>
    </w:p>
    <w:p w14:paraId="5EDABDD3">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320" w:firstLineChars="100"/>
        <w:textAlignment w:val="auto"/>
        <w:rPr>
          <w:rFonts w:hint="eastAsia" w:ascii="黑体" w:hAnsi="黑体" w:eastAsia="黑体" w:cs="黑体"/>
          <w:sz w:val="32"/>
          <w:szCs w:val="32"/>
        </w:rPr>
      </w:pPr>
      <w:r>
        <w:rPr>
          <w:rFonts w:hint="eastAsia" w:ascii="黑体" w:hAnsi="黑体" w:eastAsia="黑体" w:cs="黑体"/>
          <w:sz w:val="32"/>
          <w:szCs w:val="32"/>
        </w:rPr>
        <w:t>四、政府性基金预算支出情况说明</w:t>
      </w:r>
    </w:p>
    <w:p w14:paraId="47943C8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1.收入预算情况</w:t>
      </w:r>
    </w:p>
    <w:p w14:paraId="669B4431">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政府性基金预算收入的总规模、各项预算收入及增减变化情况。</w:t>
      </w:r>
    </w:p>
    <w:p w14:paraId="70FDB87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2026年政府性基金预算收入20.00万元，同比减少28.00万元，下降58.33%。其中：中央补助0万元，自治区本级20.00万元，专项债券收入0万元。</w:t>
      </w:r>
    </w:p>
    <w:p w14:paraId="07C815F7">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按收入科目划分，共分为1项，其中：</w:t>
      </w:r>
    </w:p>
    <w:p w14:paraId="519D577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bookmarkStart w:id="0" w:name="_GoBack"/>
      <w:r>
        <w:rPr>
          <w:rFonts w:hint="eastAsia" w:ascii="宋体" w:hAnsi="宋体" w:eastAsia="宋体" w:cs="宋体"/>
          <w:kern w:val="2"/>
          <w:sz w:val="32"/>
          <w:szCs w:val="32"/>
          <w:lang w:val="en-US" w:eastAsia="zh-CN" w:bidi="ar-SA"/>
        </w:rPr>
        <w:t>彩票公益金安排的支出科目收入20万元，同比减少28万元，下降58.33%。</w:t>
      </w:r>
    </w:p>
    <w:p w14:paraId="76DF65A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2.支出预算情况</w:t>
      </w:r>
    </w:p>
    <w:p w14:paraId="3DA34FF0">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2026年政府性基金预算支出20.00万元，同比减少28.00万元，下降58.33%。</w:t>
      </w:r>
    </w:p>
    <w:p w14:paraId="07F3E77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①按支出功能分类科目划分，共分</w:t>
      </w:r>
      <w:bookmarkEnd w:id="0"/>
      <w:r>
        <w:rPr>
          <w:rFonts w:hint="eastAsia" w:ascii="宋体" w:hAnsi="宋体" w:eastAsia="宋体" w:cs="宋体"/>
          <w:kern w:val="2"/>
          <w:sz w:val="32"/>
          <w:szCs w:val="32"/>
          <w:lang w:val="en-US" w:eastAsia="zh-CN" w:bidi="ar-SA"/>
        </w:rPr>
        <w:t>为1项，其中：</w:t>
      </w:r>
    </w:p>
    <w:p w14:paraId="6804F58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彩票公益金安排的支出20.00万元，占政府性基金总支出预算100%，同比减少28.00万元，下降58.33%。</w:t>
      </w:r>
    </w:p>
    <w:p w14:paraId="53B78191">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②按支出结构分类划分，分为基本支出预算和项目支出预算。其中：</w:t>
      </w:r>
    </w:p>
    <w:p w14:paraId="064D8EA1">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基本支出预算。</w:t>
      </w:r>
    </w:p>
    <w:p w14:paraId="779DEE8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基本支出预算0万元，占本年支出预算0％，同比增加0万元，增长0％。其中：</w:t>
      </w:r>
    </w:p>
    <w:p w14:paraId="33BCDAB0">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人员经费预算0万元，占基本支出预算0％，同比增加0万元，增长0％。其中：工资福利支出预算0万元，占基本支出预算0％，同比增加0万元，增长0％；对个人和家庭的补助预算0万元，占基本支出预算0％，同比增加0万元，增长0％。</w:t>
      </w:r>
    </w:p>
    <w:p w14:paraId="186BEFF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公用经费（商品和服务支出）预算0万元，占基本支出预算0％，同比增加0万元，增长0％。</w:t>
      </w:r>
    </w:p>
    <w:p w14:paraId="6450FFE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项目支出预算。</w:t>
      </w:r>
    </w:p>
    <w:p w14:paraId="7650681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项目支出预算20万元，占政府性基金总支出预算100%，同比减少28.00万元，下降58.33%。</w:t>
      </w:r>
    </w:p>
    <w:p w14:paraId="45766B3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五、国有资本经营预算支出情况说明</w:t>
      </w:r>
    </w:p>
    <w:p w14:paraId="0407876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宋体" w:hAnsi="宋体" w:eastAsia="宋体" w:cs="宋体"/>
          <w:kern w:val="2"/>
          <w:sz w:val="32"/>
          <w:szCs w:val="32"/>
          <w:lang w:val="en-US" w:eastAsia="zh-CN" w:bidi="ar-SA"/>
        </w:rPr>
      </w:pPr>
      <w:r>
        <w:rPr>
          <w:rFonts w:hint="eastAsia" w:hAnsi="宋体" w:cs="宋体"/>
          <w:kern w:val="2"/>
          <w:sz w:val="32"/>
          <w:szCs w:val="32"/>
          <w:lang w:val="en-US" w:eastAsia="zh-CN" w:bidi="ar-SA"/>
        </w:rPr>
        <w:t>2026</w:t>
      </w:r>
      <w:r>
        <w:rPr>
          <w:rFonts w:hint="eastAsia" w:ascii="宋体" w:hAnsi="宋体" w:eastAsia="宋体" w:cs="宋体"/>
          <w:kern w:val="2"/>
          <w:sz w:val="32"/>
          <w:szCs w:val="32"/>
          <w:lang w:val="en-US" w:eastAsia="zh-CN" w:bidi="ar-SA"/>
        </w:rPr>
        <w:t>年我校无国有资本经营预算收支</w:t>
      </w:r>
      <w:r>
        <w:rPr>
          <w:rFonts w:hint="eastAsia" w:hAnsi="宋体" w:cs="宋体"/>
          <w:kern w:val="2"/>
          <w:sz w:val="32"/>
          <w:szCs w:val="32"/>
          <w:lang w:val="en-US" w:eastAsia="zh-CN" w:bidi="ar-SA"/>
        </w:rPr>
        <w:t>。</w:t>
      </w:r>
    </w:p>
    <w:p w14:paraId="285D04A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六、一般公共预算“三公”经费支出情况说明</w:t>
      </w:r>
    </w:p>
    <w:p w14:paraId="4F45141C">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宋体"/>
          <w:sz w:val="32"/>
          <w:szCs w:val="32"/>
        </w:rPr>
      </w:pPr>
      <w:r>
        <w:rPr>
          <w:rFonts w:hint="eastAsia" w:hAnsi="宋体"/>
          <w:sz w:val="32"/>
          <w:szCs w:val="32"/>
        </w:rPr>
        <w:t>1.2026年一般公共预算“三公”经费、会议费和培训费（不含中央补助）合计0万元，同比增加0万元，增长0％。</w:t>
      </w:r>
    </w:p>
    <w:p w14:paraId="200E47D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宋体"/>
          <w:sz w:val="32"/>
          <w:szCs w:val="32"/>
        </w:rPr>
      </w:pPr>
      <w:r>
        <w:rPr>
          <w:rFonts w:hint="eastAsia" w:hAnsi="宋体"/>
          <w:sz w:val="32"/>
          <w:szCs w:val="32"/>
        </w:rPr>
        <w:t>2.2026年政府性基金预算“三公”经费、会议费和培训费（不含中央补助）合计0万元，同比增加0万元，增长0％。</w:t>
      </w:r>
    </w:p>
    <w:p w14:paraId="6CEBE9E2">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宋体"/>
          <w:sz w:val="32"/>
          <w:szCs w:val="32"/>
        </w:rPr>
      </w:pPr>
      <w:r>
        <w:rPr>
          <w:rFonts w:hint="eastAsia" w:hAnsi="宋体"/>
          <w:sz w:val="32"/>
          <w:szCs w:val="32"/>
        </w:rPr>
        <w:t>3.2026年非财政拨款“三公”经费283.00万元，同比增加0万元，增长0％。其中：</w:t>
      </w:r>
    </w:p>
    <w:p w14:paraId="49A9D291">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宋体"/>
          <w:sz w:val="32"/>
          <w:szCs w:val="32"/>
        </w:rPr>
      </w:pPr>
      <w:r>
        <w:rPr>
          <w:rFonts w:hint="eastAsia" w:hAnsi="宋体"/>
          <w:sz w:val="32"/>
          <w:szCs w:val="32"/>
        </w:rPr>
        <w:t>（1）因公出国（境）费60.00万元，同比增加0万元，增长0％。</w:t>
      </w:r>
    </w:p>
    <w:p w14:paraId="15C7C66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宋体"/>
          <w:sz w:val="32"/>
          <w:szCs w:val="32"/>
        </w:rPr>
      </w:pPr>
      <w:r>
        <w:rPr>
          <w:rFonts w:hint="eastAsia" w:hAnsi="宋体"/>
          <w:sz w:val="32"/>
          <w:szCs w:val="32"/>
        </w:rPr>
        <w:t>（2）公务用车购置及运行维护费70.00万元，同比减少15.00万元，下降16.67％。</w:t>
      </w:r>
    </w:p>
    <w:p w14:paraId="2EEF900C">
      <w:pPr>
        <w:pStyle w:val="2"/>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黑体" w:hAnsi="黑体" w:eastAsia="黑体" w:cs="黑体"/>
          <w:color w:val="E54C5E" w:themeColor="accent6"/>
          <w:sz w:val="32"/>
          <w:szCs w:val="32"/>
          <w14:textFill>
            <w14:solidFill>
              <w14:schemeClr w14:val="accent6"/>
            </w14:solidFill>
          </w14:textFill>
        </w:rPr>
      </w:pPr>
      <w:r>
        <w:rPr>
          <w:rFonts w:hint="eastAsia" w:hAnsi="宋体"/>
          <w:sz w:val="32"/>
          <w:szCs w:val="32"/>
        </w:rPr>
        <w:t>（3）公务接待费70.00万元，同比增加0万元，增长0％。</w:t>
      </w:r>
      <w:r>
        <w:rPr>
          <w:rFonts w:hint="eastAsia" w:ascii="黑体" w:hAnsi="黑体" w:eastAsia="黑体" w:cs="黑体"/>
          <w:color w:val="000000" w:themeColor="text1"/>
          <w:sz w:val="32"/>
          <w:szCs w:val="32"/>
          <w14:textFill>
            <w14:solidFill>
              <w14:schemeClr w14:val="tx1"/>
            </w14:solidFill>
          </w14:textFill>
        </w:rPr>
        <w:t>七、</w:t>
      </w:r>
      <w:r>
        <w:rPr>
          <w:rFonts w:hint="eastAsia" w:ascii="黑体" w:hAnsi="黑体" w:eastAsia="黑体" w:cs="黑体"/>
          <w:color w:val="000000" w:themeColor="text1"/>
          <w:sz w:val="32"/>
          <w:szCs w:val="32"/>
          <w:lang w:val="en-US" w:eastAsia="zh-CN"/>
          <w14:textFill>
            <w14:solidFill>
              <w14:schemeClr w14:val="tx1"/>
            </w14:solidFill>
          </w14:textFill>
        </w:rPr>
        <w:t>事业单位</w:t>
      </w:r>
      <w:r>
        <w:rPr>
          <w:rFonts w:hint="eastAsia" w:ascii="黑体" w:hAnsi="黑体" w:eastAsia="黑体" w:cs="黑体"/>
          <w:color w:val="000000" w:themeColor="text1"/>
          <w:sz w:val="32"/>
          <w:szCs w:val="32"/>
          <w14:textFill>
            <w14:solidFill>
              <w14:schemeClr w14:val="tx1"/>
            </w14:solidFill>
          </w14:textFill>
        </w:rPr>
        <w:t>运行经费安排情况说明</w:t>
      </w:r>
    </w:p>
    <w:p w14:paraId="39D1344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宋体"/>
          <w:color w:val="0000FF"/>
          <w:sz w:val="32"/>
          <w:szCs w:val="32"/>
          <w:highlight w:val="none"/>
          <w:lang w:val="en-US" w:eastAsia="zh-CN"/>
        </w:rPr>
      </w:pPr>
      <w:r>
        <w:rPr>
          <w:rFonts w:hint="eastAsia" w:ascii="Calibri" w:hAnsi="宋体" w:cs="Times New Roman"/>
          <w:color w:val="000000" w:themeColor="text1"/>
          <w:kern w:val="2"/>
          <w:sz w:val="32"/>
          <w:szCs w:val="32"/>
          <w:highlight w:val="none"/>
          <w:lang w:val="en-US" w:eastAsia="zh-CN" w:bidi="ar-SA"/>
          <w14:textFill>
            <w14:solidFill>
              <w14:schemeClr w14:val="tx1"/>
            </w14:solidFill>
          </w14:textFill>
        </w:rPr>
        <w:t>2026</w:t>
      </w:r>
      <w:r>
        <w:rPr>
          <w:rFonts w:hint="eastAsia" w:ascii="Calibri" w:hAnsi="宋体" w:eastAsia="宋体" w:cs="Times New Roman"/>
          <w:color w:val="000000" w:themeColor="text1"/>
          <w:kern w:val="2"/>
          <w:sz w:val="32"/>
          <w:szCs w:val="32"/>
          <w:highlight w:val="none"/>
          <w:lang w:val="en-US" w:eastAsia="zh-CN" w:bidi="ar-SA"/>
          <w14:textFill>
            <w14:solidFill>
              <w14:schemeClr w14:val="tx1"/>
            </w14:solidFill>
          </w14:textFill>
        </w:rPr>
        <w:t>年</w:t>
      </w:r>
      <w:r>
        <w:rPr>
          <w:rFonts w:hint="eastAsia" w:hAnsi="宋体"/>
          <w:color w:val="000000" w:themeColor="text1"/>
          <w:sz w:val="32"/>
          <w:szCs w:val="32"/>
          <w:highlight w:val="none"/>
          <w14:textFill>
            <w14:solidFill>
              <w14:schemeClr w14:val="tx1"/>
            </w14:solidFill>
          </w14:textFill>
        </w:rPr>
        <w:t>我校事业单位运行经费为</w:t>
      </w:r>
      <w:r>
        <w:rPr>
          <w:rFonts w:hint="eastAsia" w:hAnsi="宋体"/>
          <w:color w:val="000000" w:themeColor="text1"/>
          <w:sz w:val="32"/>
          <w:szCs w:val="32"/>
          <w:highlight w:val="none"/>
          <w:lang w:val="en-US" w:eastAsia="zh-CN"/>
          <w14:textFill>
            <w14:solidFill>
              <w14:schemeClr w14:val="tx1"/>
            </w14:solidFill>
          </w14:textFill>
        </w:rPr>
        <w:t>31230.07</w:t>
      </w:r>
      <w:r>
        <w:rPr>
          <w:rFonts w:hint="eastAsia" w:hAnsi="宋体"/>
          <w:color w:val="000000" w:themeColor="text1"/>
          <w:sz w:val="32"/>
          <w:szCs w:val="32"/>
          <w:highlight w:val="none"/>
          <w14:textFill>
            <w14:solidFill>
              <w14:schemeClr w14:val="tx1"/>
            </w14:solidFill>
          </w14:textFill>
        </w:rPr>
        <w:t>万元，同比增加</w:t>
      </w:r>
      <w:r>
        <w:rPr>
          <w:rFonts w:hint="eastAsia" w:hAnsi="宋体"/>
          <w:color w:val="000000" w:themeColor="text1"/>
          <w:sz w:val="32"/>
          <w:szCs w:val="32"/>
          <w:highlight w:val="none"/>
          <w:lang w:val="en-US" w:eastAsia="zh-CN"/>
          <w14:textFill>
            <w14:solidFill>
              <w14:schemeClr w14:val="tx1"/>
            </w14:solidFill>
          </w14:textFill>
        </w:rPr>
        <w:t>1463.15</w:t>
      </w:r>
      <w:r>
        <w:rPr>
          <w:rFonts w:hint="eastAsia" w:hAnsi="宋体"/>
          <w:color w:val="000000" w:themeColor="text1"/>
          <w:sz w:val="32"/>
          <w:szCs w:val="32"/>
          <w:highlight w:val="none"/>
          <w14:textFill>
            <w14:solidFill>
              <w14:schemeClr w14:val="tx1"/>
            </w14:solidFill>
          </w14:textFill>
        </w:rPr>
        <w:t>万元，增长</w:t>
      </w:r>
      <w:r>
        <w:rPr>
          <w:rFonts w:hint="eastAsia" w:hAnsi="宋体"/>
          <w:color w:val="000000" w:themeColor="text1"/>
          <w:sz w:val="32"/>
          <w:szCs w:val="32"/>
          <w:highlight w:val="none"/>
          <w:lang w:val="en-US" w:eastAsia="zh-CN"/>
          <w14:textFill>
            <w14:solidFill>
              <w14:schemeClr w14:val="tx1"/>
            </w14:solidFill>
          </w14:textFill>
        </w:rPr>
        <w:t>4.92</w:t>
      </w:r>
      <w:r>
        <w:rPr>
          <w:rFonts w:hint="eastAsia" w:hAnsi="宋体"/>
          <w:color w:val="000000" w:themeColor="text1"/>
          <w:sz w:val="32"/>
          <w:szCs w:val="32"/>
          <w:highlight w:val="none"/>
          <w14:textFill>
            <w14:solidFill>
              <w14:schemeClr w14:val="tx1"/>
            </w14:solidFill>
          </w14:textFill>
        </w:rPr>
        <w:t>%，其中办公费</w:t>
      </w:r>
      <w:r>
        <w:rPr>
          <w:rFonts w:hint="eastAsia" w:hAnsi="宋体"/>
          <w:color w:val="000000" w:themeColor="text1"/>
          <w:sz w:val="32"/>
          <w:szCs w:val="32"/>
          <w:highlight w:val="none"/>
          <w:lang w:val="en-US" w:eastAsia="zh-CN"/>
          <w14:textFill>
            <w14:solidFill>
              <w14:schemeClr w14:val="tx1"/>
            </w14:solidFill>
          </w14:textFill>
        </w:rPr>
        <w:t>942</w:t>
      </w:r>
      <w:r>
        <w:rPr>
          <w:rFonts w:hint="eastAsia" w:hAnsi="宋体"/>
          <w:color w:val="000000" w:themeColor="text1"/>
          <w:sz w:val="32"/>
          <w:szCs w:val="32"/>
          <w:highlight w:val="none"/>
          <w14:textFill>
            <w14:solidFill>
              <w14:schemeClr w14:val="tx1"/>
            </w14:solidFill>
          </w14:textFill>
        </w:rPr>
        <w:t>万元，</w:t>
      </w:r>
      <w:r>
        <w:rPr>
          <w:rFonts w:hint="eastAsia" w:hAnsi="宋体"/>
          <w:color w:val="000000" w:themeColor="text1"/>
          <w:sz w:val="32"/>
          <w:szCs w:val="32"/>
          <w:highlight w:val="none"/>
          <w:lang w:val="en-US" w:eastAsia="zh-CN"/>
          <w14:textFill>
            <w14:solidFill>
              <w14:schemeClr w14:val="tx1"/>
            </w14:solidFill>
          </w14:textFill>
        </w:rPr>
        <w:t>办公设备购置费1209.45万元，</w:t>
      </w:r>
      <w:r>
        <w:rPr>
          <w:rFonts w:hint="eastAsia" w:hAnsi="宋体"/>
          <w:color w:val="000000" w:themeColor="text1"/>
          <w:sz w:val="32"/>
          <w:szCs w:val="32"/>
          <w:highlight w:val="none"/>
          <w14:textFill>
            <w14:solidFill>
              <w14:schemeClr w14:val="tx1"/>
            </w14:solidFill>
          </w14:textFill>
        </w:rPr>
        <w:t>印刷费</w:t>
      </w:r>
      <w:r>
        <w:rPr>
          <w:rFonts w:hint="eastAsia" w:hAnsi="宋体"/>
          <w:color w:val="000000" w:themeColor="text1"/>
          <w:sz w:val="32"/>
          <w:szCs w:val="32"/>
          <w:highlight w:val="none"/>
          <w:lang w:val="en-US" w:eastAsia="zh-CN"/>
          <w14:textFill>
            <w14:solidFill>
              <w14:schemeClr w14:val="tx1"/>
            </w14:solidFill>
          </w14:textFill>
        </w:rPr>
        <w:t>200</w:t>
      </w:r>
      <w:r>
        <w:rPr>
          <w:rFonts w:hint="eastAsia" w:hAnsi="宋体"/>
          <w:color w:val="000000" w:themeColor="text1"/>
          <w:sz w:val="32"/>
          <w:szCs w:val="32"/>
          <w:highlight w:val="none"/>
          <w14:textFill>
            <w14:solidFill>
              <w14:schemeClr w14:val="tx1"/>
            </w14:solidFill>
          </w14:textFill>
        </w:rPr>
        <w:t>万元，水</w:t>
      </w:r>
      <w:r>
        <w:rPr>
          <w:rFonts w:hint="eastAsia" w:hAnsi="宋体"/>
          <w:color w:val="000000" w:themeColor="text1"/>
          <w:sz w:val="32"/>
          <w:szCs w:val="32"/>
          <w:highlight w:val="none"/>
          <w:lang w:val="en-US" w:eastAsia="zh-CN"/>
          <w14:textFill>
            <w14:solidFill>
              <w14:schemeClr w14:val="tx1"/>
            </w14:solidFill>
          </w14:textFill>
        </w:rPr>
        <w:t>电费2300万元</w:t>
      </w:r>
      <w:r>
        <w:rPr>
          <w:rFonts w:hint="eastAsia" w:hAnsi="宋体"/>
          <w:color w:val="000000" w:themeColor="text1"/>
          <w:sz w:val="32"/>
          <w:szCs w:val="32"/>
          <w:highlight w:val="none"/>
          <w14:textFill>
            <w14:solidFill>
              <w14:schemeClr w14:val="tx1"/>
            </w14:solidFill>
          </w14:textFill>
        </w:rPr>
        <w:t>，邮电费</w:t>
      </w:r>
      <w:r>
        <w:rPr>
          <w:rFonts w:hint="eastAsia" w:hAnsi="宋体"/>
          <w:color w:val="000000" w:themeColor="text1"/>
          <w:sz w:val="32"/>
          <w:szCs w:val="32"/>
          <w:highlight w:val="none"/>
          <w:lang w:val="en-US" w:eastAsia="zh-CN"/>
          <w14:textFill>
            <w14:solidFill>
              <w14:schemeClr w14:val="tx1"/>
            </w14:solidFill>
          </w14:textFill>
        </w:rPr>
        <w:t>150.36</w:t>
      </w:r>
      <w:r>
        <w:rPr>
          <w:rFonts w:hint="eastAsia" w:hAnsi="宋体"/>
          <w:color w:val="000000" w:themeColor="text1"/>
          <w:sz w:val="32"/>
          <w:szCs w:val="32"/>
          <w:highlight w:val="none"/>
          <w14:textFill>
            <w14:solidFill>
              <w14:schemeClr w14:val="tx1"/>
            </w14:solidFill>
          </w14:textFill>
        </w:rPr>
        <w:t>万元，差旅费</w:t>
      </w:r>
      <w:r>
        <w:rPr>
          <w:rFonts w:hint="eastAsia" w:hAnsi="宋体"/>
          <w:color w:val="000000" w:themeColor="text1"/>
          <w:sz w:val="32"/>
          <w:szCs w:val="32"/>
          <w:highlight w:val="none"/>
          <w:lang w:val="en-US" w:eastAsia="zh-CN"/>
          <w14:textFill>
            <w14:solidFill>
              <w14:schemeClr w14:val="tx1"/>
            </w14:solidFill>
          </w14:textFill>
        </w:rPr>
        <w:t>723</w:t>
      </w:r>
      <w:r>
        <w:rPr>
          <w:rFonts w:hint="eastAsia" w:hAnsi="宋体"/>
          <w:color w:val="000000" w:themeColor="text1"/>
          <w:sz w:val="32"/>
          <w:szCs w:val="32"/>
          <w:highlight w:val="none"/>
          <w14:textFill>
            <w14:solidFill>
              <w14:schemeClr w14:val="tx1"/>
            </w14:solidFill>
          </w14:textFill>
        </w:rPr>
        <w:t>万元，维修（护）费</w:t>
      </w:r>
      <w:r>
        <w:rPr>
          <w:rFonts w:hint="eastAsia" w:hAnsi="宋体"/>
          <w:color w:val="000000" w:themeColor="text1"/>
          <w:sz w:val="32"/>
          <w:szCs w:val="32"/>
          <w:highlight w:val="none"/>
          <w:lang w:val="en-US" w:eastAsia="zh-CN"/>
          <w14:textFill>
            <w14:solidFill>
              <w14:schemeClr w14:val="tx1"/>
            </w14:solidFill>
          </w14:textFill>
        </w:rPr>
        <w:t>1822</w:t>
      </w:r>
      <w:r>
        <w:rPr>
          <w:rFonts w:hint="eastAsia" w:hAnsi="宋体"/>
          <w:color w:val="000000" w:themeColor="text1"/>
          <w:sz w:val="32"/>
          <w:szCs w:val="32"/>
          <w:highlight w:val="none"/>
          <w14:textFill>
            <w14:solidFill>
              <w14:schemeClr w14:val="tx1"/>
            </w14:solidFill>
          </w14:textFill>
        </w:rPr>
        <w:t>万元，培训费</w:t>
      </w:r>
      <w:r>
        <w:rPr>
          <w:rFonts w:hint="eastAsia" w:hAnsi="宋体"/>
          <w:color w:val="000000" w:themeColor="text1"/>
          <w:sz w:val="32"/>
          <w:szCs w:val="32"/>
          <w:highlight w:val="none"/>
          <w:lang w:val="en-US" w:eastAsia="zh-CN"/>
          <w14:textFill>
            <w14:solidFill>
              <w14:schemeClr w14:val="tx1"/>
            </w14:solidFill>
          </w14:textFill>
        </w:rPr>
        <w:t>98</w:t>
      </w:r>
      <w:r>
        <w:rPr>
          <w:rFonts w:hint="eastAsia" w:hAnsi="宋体"/>
          <w:color w:val="000000" w:themeColor="text1"/>
          <w:sz w:val="32"/>
          <w:szCs w:val="32"/>
          <w:highlight w:val="none"/>
          <w14:textFill>
            <w14:solidFill>
              <w14:schemeClr w14:val="tx1"/>
            </w14:solidFill>
          </w14:textFill>
        </w:rPr>
        <w:t>万元，公务接待费70万元，</w:t>
      </w:r>
      <w:r>
        <w:rPr>
          <w:rFonts w:hint="eastAsia" w:hAnsi="宋体"/>
          <w:color w:val="000000" w:themeColor="text1"/>
          <w:sz w:val="32"/>
          <w:szCs w:val="32"/>
          <w:highlight w:val="none"/>
          <w:lang w:val="en-US" w:eastAsia="zh-CN"/>
          <w14:textFill>
            <w14:solidFill>
              <w14:schemeClr w14:val="tx1"/>
            </w14:solidFill>
          </w14:textFill>
        </w:rPr>
        <w:t>物业管理费2750万元，</w:t>
      </w:r>
      <w:r>
        <w:rPr>
          <w:rFonts w:hint="eastAsia" w:hAnsi="宋体"/>
          <w:color w:val="000000" w:themeColor="text1"/>
          <w:sz w:val="32"/>
          <w:szCs w:val="32"/>
          <w:highlight w:val="none"/>
          <w14:textFill>
            <w14:solidFill>
              <w14:schemeClr w14:val="tx1"/>
            </w14:solidFill>
          </w14:textFill>
        </w:rPr>
        <w:t>专用材料费</w:t>
      </w:r>
      <w:r>
        <w:rPr>
          <w:rFonts w:hint="eastAsia" w:hAnsi="宋体"/>
          <w:color w:val="000000" w:themeColor="text1"/>
          <w:sz w:val="32"/>
          <w:szCs w:val="32"/>
          <w:highlight w:val="none"/>
          <w:lang w:val="en-US" w:eastAsia="zh-CN"/>
          <w14:textFill>
            <w14:solidFill>
              <w14:schemeClr w14:val="tx1"/>
            </w14:solidFill>
          </w14:textFill>
        </w:rPr>
        <w:t>150</w:t>
      </w:r>
      <w:r>
        <w:rPr>
          <w:rFonts w:hint="eastAsia" w:hAnsi="宋体"/>
          <w:color w:val="000000" w:themeColor="text1"/>
          <w:sz w:val="32"/>
          <w:szCs w:val="32"/>
          <w:highlight w:val="none"/>
          <w14:textFill>
            <w14:solidFill>
              <w14:schemeClr w14:val="tx1"/>
            </w14:solidFill>
          </w14:textFill>
        </w:rPr>
        <w:t>万元，劳务费</w:t>
      </w:r>
      <w:r>
        <w:rPr>
          <w:rFonts w:hint="eastAsia" w:hAnsi="宋体"/>
          <w:color w:val="000000" w:themeColor="text1"/>
          <w:sz w:val="32"/>
          <w:szCs w:val="32"/>
          <w:highlight w:val="none"/>
          <w:lang w:val="en-US" w:eastAsia="zh-CN"/>
          <w14:textFill>
            <w14:solidFill>
              <w14:schemeClr w14:val="tx1"/>
            </w14:solidFill>
          </w14:textFill>
        </w:rPr>
        <w:t xml:space="preserve"> 2511.92 </w:t>
      </w:r>
      <w:r>
        <w:rPr>
          <w:rFonts w:hint="eastAsia" w:hAnsi="宋体"/>
          <w:color w:val="000000" w:themeColor="text1"/>
          <w:sz w:val="32"/>
          <w:szCs w:val="32"/>
          <w:highlight w:val="none"/>
          <w14:textFill>
            <w14:solidFill>
              <w14:schemeClr w14:val="tx1"/>
            </w14:solidFill>
          </w14:textFill>
        </w:rPr>
        <w:t>万元，专用设备购置</w:t>
      </w:r>
      <w:r>
        <w:rPr>
          <w:rFonts w:hint="eastAsia" w:hAnsi="宋体"/>
          <w:color w:val="000000" w:themeColor="text1"/>
          <w:sz w:val="32"/>
          <w:szCs w:val="32"/>
          <w:highlight w:val="none"/>
          <w:lang w:val="en-US" w:eastAsia="zh-CN"/>
          <w14:textFill>
            <w14:solidFill>
              <w14:schemeClr w14:val="tx1"/>
            </w14:solidFill>
          </w14:textFill>
        </w:rPr>
        <w:t>526万元，</w:t>
      </w:r>
      <w:r>
        <w:rPr>
          <w:rFonts w:hint="eastAsia" w:hAnsi="宋体"/>
          <w:color w:val="000000" w:themeColor="text1"/>
          <w:sz w:val="32"/>
          <w:szCs w:val="32"/>
          <w:highlight w:val="none"/>
          <w14:textFill>
            <w14:solidFill>
              <w14:schemeClr w14:val="tx1"/>
            </w14:solidFill>
          </w14:textFill>
        </w:rPr>
        <w:t>工会经费</w:t>
      </w:r>
      <w:r>
        <w:rPr>
          <w:rFonts w:hint="eastAsia" w:hAnsi="宋体"/>
          <w:color w:val="000000" w:themeColor="text1"/>
          <w:sz w:val="32"/>
          <w:szCs w:val="32"/>
          <w:highlight w:val="none"/>
          <w:lang w:val="en-US" w:eastAsia="zh-CN"/>
          <w14:textFill>
            <w14:solidFill>
              <w14:schemeClr w14:val="tx1"/>
            </w14:solidFill>
          </w14:textFill>
        </w:rPr>
        <w:t xml:space="preserve"> 528.65 </w:t>
      </w:r>
      <w:r>
        <w:rPr>
          <w:rFonts w:hint="eastAsia" w:hAnsi="宋体"/>
          <w:color w:val="000000" w:themeColor="text1"/>
          <w:sz w:val="32"/>
          <w:szCs w:val="32"/>
          <w:highlight w:val="none"/>
          <w14:textFill>
            <w14:solidFill>
              <w14:schemeClr w14:val="tx1"/>
            </w14:solidFill>
          </w14:textFill>
        </w:rPr>
        <w:t>万元，公务用车运行维护费</w:t>
      </w:r>
      <w:r>
        <w:rPr>
          <w:rFonts w:hint="eastAsia" w:hAnsi="宋体"/>
          <w:color w:val="000000" w:themeColor="text1"/>
          <w:sz w:val="32"/>
          <w:szCs w:val="32"/>
          <w:highlight w:val="none"/>
          <w:lang w:val="en-US" w:eastAsia="zh-CN"/>
          <w14:textFill>
            <w14:solidFill>
              <w14:schemeClr w14:val="tx1"/>
            </w14:solidFill>
          </w14:textFill>
        </w:rPr>
        <w:t>与公务用车购置7</w:t>
      </w:r>
      <w:r>
        <w:rPr>
          <w:rFonts w:hint="eastAsia" w:hAnsi="宋体"/>
          <w:color w:val="000000" w:themeColor="text1"/>
          <w:sz w:val="32"/>
          <w:szCs w:val="32"/>
          <w:highlight w:val="none"/>
          <w14:textFill>
            <w14:solidFill>
              <w14:schemeClr w14:val="tx1"/>
            </w14:solidFill>
          </w14:textFill>
        </w:rPr>
        <w:t>5万元，其他交通费用</w:t>
      </w:r>
      <w:r>
        <w:rPr>
          <w:rFonts w:hint="eastAsia" w:hAnsi="宋体"/>
          <w:color w:val="000000" w:themeColor="text1"/>
          <w:sz w:val="32"/>
          <w:szCs w:val="32"/>
          <w:highlight w:val="none"/>
          <w:lang w:val="en-US" w:eastAsia="zh-CN"/>
          <w14:textFill>
            <w14:solidFill>
              <w14:schemeClr w14:val="tx1"/>
            </w14:solidFill>
          </w14:textFill>
        </w:rPr>
        <w:t xml:space="preserve"> 715</w:t>
      </w:r>
      <w:r>
        <w:rPr>
          <w:rFonts w:hint="eastAsia" w:hAnsi="宋体"/>
          <w:color w:val="000000" w:themeColor="text1"/>
          <w:sz w:val="32"/>
          <w:szCs w:val="32"/>
          <w:highlight w:val="none"/>
          <w14:textFill>
            <w14:solidFill>
              <w14:schemeClr w14:val="tx1"/>
            </w14:solidFill>
          </w14:textFill>
        </w:rPr>
        <w:t>万元，其他商品和服务支出</w:t>
      </w:r>
      <w:r>
        <w:rPr>
          <w:rFonts w:hint="eastAsia" w:hAnsi="宋体"/>
          <w:color w:val="000000" w:themeColor="text1"/>
          <w:sz w:val="32"/>
          <w:szCs w:val="32"/>
          <w:highlight w:val="none"/>
          <w:lang w:val="en-US" w:eastAsia="zh-CN"/>
          <w14:textFill>
            <w14:solidFill>
              <w14:schemeClr w14:val="tx1"/>
            </w14:solidFill>
          </w14:textFill>
        </w:rPr>
        <w:t>19488.50</w:t>
      </w:r>
      <w:r>
        <w:rPr>
          <w:rFonts w:hint="eastAsia" w:hAnsi="宋体"/>
          <w:color w:val="000000" w:themeColor="text1"/>
          <w:sz w:val="32"/>
          <w:szCs w:val="32"/>
          <w:highlight w:val="none"/>
          <w14:textFill>
            <w14:solidFill>
              <w14:schemeClr w14:val="tx1"/>
            </w14:solidFill>
          </w14:textFill>
        </w:rPr>
        <w:t>万元</w:t>
      </w:r>
      <w:r>
        <w:rPr>
          <w:rFonts w:hint="eastAsia" w:hAnsi="宋体"/>
          <w:color w:val="000000" w:themeColor="text1"/>
          <w:sz w:val="32"/>
          <w:szCs w:val="32"/>
          <w:highlight w:val="none"/>
          <w:lang w:val="en-US" w:eastAsia="zh-CN"/>
          <w14:textFill>
            <w14:solidFill>
              <w14:schemeClr w14:val="tx1"/>
            </w14:solidFill>
          </w14:textFill>
        </w:rPr>
        <w:t>，其他资本性支出702万元，因公出国（境）其他费用60万元，信息网络及软件购置更新2.2万元，无形资产购置6万元，租赁费200万元。</w:t>
      </w:r>
      <w:r>
        <w:rPr>
          <w:rFonts w:hint="eastAsia" w:hAnsi="宋体"/>
          <w:color w:val="000000" w:themeColor="text1"/>
          <w:sz w:val="32"/>
          <w:szCs w:val="32"/>
          <w:highlight w:val="none"/>
          <w14:textFill>
            <w14:solidFill>
              <w14:schemeClr w14:val="tx1"/>
            </w14:solidFill>
          </w14:textFill>
        </w:rPr>
        <w:t>增加</w:t>
      </w:r>
      <w:r>
        <w:rPr>
          <w:rFonts w:hint="eastAsia" w:hAnsi="宋体"/>
          <w:color w:val="000000" w:themeColor="text1"/>
          <w:sz w:val="32"/>
          <w:szCs w:val="32"/>
          <w:highlight w:val="none"/>
          <w:lang w:val="en-US" w:eastAsia="zh-CN"/>
          <w14:textFill>
            <w14:solidFill>
              <w14:schemeClr w14:val="tx1"/>
            </w14:solidFill>
          </w14:textFill>
        </w:rPr>
        <w:t>一是因为学校2026年（将）实现扩招，预计2026年在校生人数较2025年增加，学校安排更多基础维修建设支出，确保学校办学条件满足在校生日常学习、生活需求；二是因为随着学校办学规模扩大与业务工作更为丰富，学校投入更多经费支持教学与科研条件完善、教改与科研课题工作开展等与教育质量提升、教育改革深化息息相关的业务工作。</w:t>
      </w:r>
    </w:p>
    <w:p w14:paraId="13D34C1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八、政府采购预算安排情况说明</w:t>
      </w:r>
    </w:p>
    <w:p w14:paraId="2BC34AD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2026年政府采购预算24,809.52万元，同比增加 16,747.04万元，增长137.14％，增加一是因为2026年，学校</w:t>
      </w:r>
      <w:r>
        <w:rPr>
          <w:rFonts w:hint="eastAsia" w:hAnsi="宋体" w:cs="Times New Roman"/>
          <w:kern w:val="2"/>
          <w:sz w:val="32"/>
          <w:szCs w:val="32"/>
          <w:highlight w:val="none"/>
          <w:lang w:val="en-US" w:eastAsia="zh-CN" w:bidi="ar-SA"/>
        </w:rPr>
        <w:t>为</w:t>
      </w:r>
      <w:r>
        <w:rPr>
          <w:rFonts w:hint="eastAsia" w:ascii="宋体" w:hAnsi="宋体" w:eastAsia="宋体" w:cs="Times New Roman"/>
          <w:kern w:val="2"/>
          <w:sz w:val="32"/>
          <w:szCs w:val="32"/>
          <w:highlight w:val="none"/>
          <w:lang w:val="en" w:eastAsia="zh-CN" w:bidi="ar-SA"/>
        </w:rPr>
        <w:t>实现扩大办学规模，提升办学质量的目标，按计划开展长岗校区改造工作，需要在维修维护工程、设备设施采购等方面安排政府采购；二是因为学校对自筹经费安排的项目支出，包括学校日常运作相关项目与科研项目采用更严谨与准确的预算管理办法，要求项目执行部门、人员提前报送2026年政府采购需求，尽量减少往年年中追加政府采购指标的工作。政府集中采购预算3,328.00万元，占政府采购预算13.41％，同比减少527.98万元，下降13.69％；分散采购预算 21,481.52万元，占政府采购预算86.59％，同比增加17,275.02万元，增长410.67％，增长原因为2026年学校在长岗校区改造工作所涉及的维修维护工程、设备设施采购以及日常运作相关项目与科研项目所涉及的技术服务、设备购置等方面的政府采购内容主要为非政采目录包含的对应分散采购货物或工程，反映学校更为科研专业性、教学质量升级导向性的采购工作安排。</w:t>
      </w:r>
    </w:p>
    <w:p w14:paraId="4D7A21C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货物采购5,790.52万元，占政府采购预算23.34％；工程采购1,617.00万元，占政府采购预算6.52％；服务采购 17,402.00万元，占政府采购预算70.14％。采购限额标准以上，200万元以下的货物和服务采购项目、400万元以下的工程采购项目，适宜由中小企业提供的采购预算563.45万元，面向中小企业预留金额169.04万元；超过200.00万元的货物和服务采购项目、超过400万元的工程采购项目中适宜由中小企业提供的采购预算1,345.97万元，预留  445.30万元专门面向中小企业采购，其中：预留120.00万元面向小微企业采购。</w:t>
      </w:r>
    </w:p>
    <w:p w14:paraId="75775D3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九、国有资产占用情况说明</w:t>
      </w:r>
    </w:p>
    <w:p w14:paraId="768B89A0">
      <w:pPr>
        <w:spacing w:line="560" w:lineRule="exact"/>
        <w:ind w:firstLine="640" w:firstLineChars="200"/>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南宁师范大学共有五个校区，分别为五合、武鸣、明秀、长岗、建政校区，占地面积共3271.48亩，校舍建筑面积118.2万平方米，馆藏图书306.36万册，电子图书420.65万册，电子期刊4.75万种。我校车辆编制数为19辆，实有车辆19辆，车辆类型为8辆轿车（其中2辆待报废）、3辆中巴车、1辆12座中型客车（待报废）、5辆大客车，2辆厢式货车（待报废）。</w:t>
      </w:r>
    </w:p>
    <w:p w14:paraId="07CE2112">
      <w:pPr>
        <w:spacing w:line="560" w:lineRule="exact"/>
        <w:ind w:firstLine="640" w:firstLineChars="200"/>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南宁师范大学附属实验学校校舍建筑面积合计9575平方米，其中，教学及辅助用房建筑面积2874平方米，学校无车辆。</w:t>
      </w:r>
    </w:p>
    <w:p w14:paraId="6584C56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十、预算绩效目标情况说明</w:t>
      </w:r>
    </w:p>
    <w:p w14:paraId="18D68A5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（一）2025年我校所有项目支出全面实施绩效目标管理，涉及自治区本级项目</w:t>
      </w:r>
      <w:r>
        <w:rPr>
          <w:rFonts w:hint="eastAsia" w:hAnsi="宋体" w:cs="Times New Roman"/>
          <w:kern w:val="2"/>
          <w:sz w:val="32"/>
          <w:szCs w:val="32"/>
          <w:highlight w:val="none"/>
          <w:lang w:val="en-US" w:eastAsia="zh-CN" w:bidi="ar-SA"/>
        </w:rPr>
        <w:t>47</w:t>
      </w:r>
      <w:r>
        <w:rPr>
          <w:rFonts w:hint="eastAsia" w:ascii="宋体" w:hAnsi="宋体" w:eastAsia="宋体" w:cs="Times New Roman"/>
          <w:kern w:val="2"/>
          <w:sz w:val="32"/>
          <w:szCs w:val="32"/>
          <w:highlight w:val="none"/>
          <w:lang w:val="en" w:eastAsia="zh-CN" w:bidi="ar-SA"/>
        </w:rPr>
        <w:t>个，预算资金74706.48万元；对下转移支付项目0个，预算资金0万元。绩效目标情况详见报表。</w:t>
      </w:r>
    </w:p>
    <w:p w14:paraId="4EF562A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（二）</w:t>
      </w:r>
      <w:r>
        <w:rPr>
          <w:rFonts w:hint="eastAsia" w:hAnsi="宋体" w:cs="Times New Roman"/>
          <w:kern w:val="2"/>
          <w:sz w:val="32"/>
          <w:szCs w:val="32"/>
          <w:highlight w:val="none"/>
          <w:lang w:val="en-US" w:eastAsia="zh-CN" w:bidi="ar-SA"/>
        </w:rPr>
        <w:t>部分</w:t>
      </w:r>
      <w:r>
        <w:rPr>
          <w:rFonts w:hint="eastAsia" w:ascii="宋体" w:hAnsi="宋体" w:eastAsia="宋体" w:cs="Times New Roman"/>
          <w:kern w:val="2"/>
          <w:sz w:val="32"/>
          <w:szCs w:val="32"/>
          <w:highlight w:val="none"/>
          <w:lang w:val="en" w:eastAsia="zh-CN" w:bidi="ar-SA"/>
        </w:rPr>
        <w:t>重点项目预算绩效目标说明。</w:t>
      </w:r>
    </w:p>
    <w:p w14:paraId="2C7BAE00">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宋体" w:cs="Times New Roman"/>
          <w:kern w:val="2"/>
          <w:sz w:val="32"/>
          <w:szCs w:val="32"/>
          <w:highlight w:val="none"/>
          <w:lang w:val="en-US" w:eastAsia="zh-CN" w:bidi="ar-SA"/>
        </w:rPr>
      </w:pPr>
      <w:r>
        <w:rPr>
          <w:rFonts w:hint="eastAsia" w:hAnsi="宋体" w:cs="Times New Roman"/>
          <w:b/>
          <w:bCs/>
          <w:kern w:val="2"/>
          <w:sz w:val="32"/>
          <w:szCs w:val="32"/>
          <w:highlight w:val="none"/>
          <w:lang w:val="en-US" w:eastAsia="zh-CN" w:bidi="ar-SA"/>
        </w:rPr>
        <w:t>1.</w:t>
      </w:r>
      <w:r>
        <w:rPr>
          <w:rFonts w:hint="eastAsia" w:ascii="宋体" w:hAnsi="宋体" w:eastAsia="宋体" w:cs="Times New Roman"/>
          <w:b/>
          <w:bCs/>
          <w:kern w:val="2"/>
          <w:sz w:val="32"/>
          <w:szCs w:val="32"/>
          <w:highlight w:val="none"/>
          <w:lang w:val="en-US" w:eastAsia="zh-CN" w:bidi="ar-SA"/>
        </w:rPr>
        <w:t>大学毕业生就业指导经费项目105.00万元</w:t>
      </w:r>
    </w:p>
    <w:p w14:paraId="020D92F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①项目立项依据</w:t>
      </w:r>
    </w:p>
    <w:p w14:paraId="12766F36">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1】立项依据：根据自治区教育厅、自治区人力资源社会保障厅、自治区卫生健康委、自治区国资委《关于举办2026届普通高校毕业生就业招聘季系列活动的通知》（桂教学生〔2025〕15号），为全面提升就业资源扩容增效，不断增强人岗相适性，促进全区2026届普通高校毕业生高质量充分就业。根据《教育部关于举办第三届全国大学生职业规划大赛的通知》（教学函〔2025〕2号）及自治区教育厅《自治区教育厅关于举办第三届全国大学生职业规划大赛广西赛区比赛的通知》（桂教学生〔2025〕16号）文件要求，我校为广西赛区高教组比赛承办方。</w:t>
      </w:r>
    </w:p>
    <w:p w14:paraId="003A87C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2】可行性和必要性：满足毕业生多层次、全方位、精准化服务需求，全力促进高校毕业生尽早顺利就业。为加强高校生涯教育和就业指导，增强大学生职业规划意识，指导其及早做好就业准备，以择业新观念打开就业新天地 ，促进其高质量充分就业。</w:t>
      </w:r>
    </w:p>
    <w:p w14:paraId="3B8378C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②项目内容</w:t>
      </w:r>
    </w:p>
    <w:p w14:paraId="3C2FB040">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该项目为经常性项目，主要任务内容和实施方案为举办师范类毕业生就业双选会（南宁专场）暨教育部直属师范大学广西籍公费师范毕业生就业双选会。承办包括面向广西普通本科高校学生的成长赛道、就业赛道和面向教师的课程教学赛道比赛，区赛结束后选拔一批优秀选手参加国赛集训。同期举办广西就业政策宣传册制作及基层就业巡回宣讲活动，围绕主体赛事广泛开展各类就业指导、基层就业典型人物宣讲、校企供需对接、职业体验等形式多样的同期活动。</w:t>
      </w:r>
    </w:p>
    <w:p w14:paraId="40DA465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③事前绩效评估和项目年度绩效目标情况</w:t>
      </w:r>
    </w:p>
    <w:p w14:paraId="034845E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1】项目年度绩效目标情况：2026年通过经费支持，开展广西2026届师范类毕业生就业双选会（南宁专场）暨教育部直属师范大学广西籍2026届公费师范毕业生就业双选会与承办第三届全国大学生职业规划大赛广西赛区高教组比赛和就业政策宣传册制作及基层就业巡回宣讲活动相关工作，完成举办全区性现场双选会（招聘会）场次≥2场、举办第三届全国大学生职业规划大赛场次≥1场、基层就业典型巡回宣讲会≥3场、制作就业政策宣传展册1册、双选会岗位与应届毕业生数量之比率80%以上、第三届全国大学生职业规划大赛广西赛区高教组报名人数较第二届报名人数增加10%、活动相关各项支出合规率100%、基层就业典型在广西普通高校宣传覆盖面≥90%、毕业生就业率≥80%的目标，达到增强大学生职业规划意识、促进毕业生高质量充分就业的目标，解决毕业生就业服务需求未充分满足、大学生职业规划意识不足以及就业信息传递不及时的问题，促进我区2026届普通高校毕业生高质量充分就业的目的。</w:t>
      </w:r>
    </w:p>
    <w:p w14:paraId="49F5C4F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2】事前绩效评估：无。</w:t>
      </w:r>
    </w:p>
    <w:p w14:paraId="65FF0A66">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④资金来源</w:t>
      </w:r>
    </w:p>
    <w:p w14:paraId="2AD097A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一般公共预算（自治区资金）105.00万元。</w:t>
      </w:r>
    </w:p>
    <w:p w14:paraId="40D2A83B">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宋体" w:cs="Times New Roman"/>
          <w:b/>
          <w:bCs/>
          <w:kern w:val="2"/>
          <w:sz w:val="32"/>
          <w:szCs w:val="32"/>
          <w:highlight w:val="none"/>
          <w:lang w:val="en-US" w:eastAsia="zh-CN" w:bidi="ar-SA"/>
        </w:rPr>
      </w:pPr>
      <w:r>
        <w:rPr>
          <w:rFonts w:hint="eastAsia" w:hAnsi="宋体" w:cs="Times New Roman"/>
          <w:b/>
          <w:bCs/>
          <w:kern w:val="2"/>
          <w:sz w:val="32"/>
          <w:szCs w:val="32"/>
          <w:highlight w:val="none"/>
          <w:lang w:val="en-US" w:eastAsia="zh-CN" w:bidi="ar-SA"/>
        </w:rPr>
        <w:t>2.</w:t>
      </w:r>
      <w:r>
        <w:rPr>
          <w:rFonts w:hint="eastAsia" w:ascii="宋体" w:hAnsi="宋体" w:eastAsia="宋体" w:cs="Times New Roman"/>
          <w:b/>
          <w:bCs/>
          <w:kern w:val="2"/>
          <w:sz w:val="32"/>
          <w:szCs w:val="32"/>
          <w:highlight w:val="none"/>
          <w:lang w:val="en-US" w:eastAsia="zh-CN" w:bidi="ar-SA"/>
        </w:rPr>
        <w:t>学生资助补助经费-本专科国家助学金-自治区资金464.93万元</w:t>
      </w:r>
    </w:p>
    <w:p w14:paraId="586A22DB">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①项目立项依据</w:t>
      </w:r>
    </w:p>
    <w:p w14:paraId="33F676BC">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1】立项依据：</w:t>
      </w:r>
      <w:r>
        <w:rPr>
          <w:rFonts w:hint="eastAsia" w:hAnsi="宋体" w:cs="Times New Roman"/>
          <w:kern w:val="2"/>
          <w:sz w:val="32"/>
          <w:szCs w:val="32"/>
          <w:highlight w:val="none"/>
          <w:lang w:val="en-US" w:eastAsia="zh-CN" w:bidi="ar-SA"/>
        </w:rPr>
        <w:t>根据</w:t>
      </w:r>
      <w:r>
        <w:rPr>
          <w:rFonts w:hint="eastAsia" w:ascii="宋体" w:hAnsi="宋体" w:eastAsia="宋体" w:cs="Times New Roman"/>
          <w:kern w:val="2"/>
          <w:sz w:val="32"/>
          <w:szCs w:val="32"/>
          <w:highlight w:val="none"/>
          <w:lang w:val="en-US" w:eastAsia="zh-CN" w:bidi="ar-SA"/>
        </w:rPr>
        <w:t>《广西壮族自治区人民政府关于进一步完善高等学校家庭经济困难学生资助政策体系的实施意见》（桂政发〔2017〕49号）、《广西壮族自治区财政厅等五部门关于印发广西壮族自治区学生资助资金管理办法的通知》（桂财规〔2019〕3号）、《财政部 教育部 人力资源社会保障部退役军人部 中央军委国防动员部关于印发〈学生资助资金管理办法〉的通知》（财教〔2021〕310号）、《广西壮族自治区财政厅等五部门关于印发广西壮族自治区学生资助资金管理办法的通知》（桂财规〔2022〕9号）</w:t>
      </w:r>
      <w:r>
        <w:rPr>
          <w:rFonts w:hint="eastAsia" w:hAnsi="宋体" w:cs="Times New Roman"/>
          <w:kern w:val="2"/>
          <w:sz w:val="32"/>
          <w:szCs w:val="32"/>
          <w:highlight w:val="none"/>
          <w:lang w:val="en-US" w:eastAsia="zh-CN" w:bidi="ar-SA"/>
        </w:rPr>
        <w:t>，</w:t>
      </w:r>
      <w:r>
        <w:rPr>
          <w:rFonts w:hint="eastAsia" w:ascii="宋体" w:hAnsi="宋体" w:eastAsia="宋体" w:cs="Times New Roman"/>
          <w:kern w:val="2"/>
          <w:sz w:val="32"/>
          <w:szCs w:val="32"/>
          <w:highlight w:val="none"/>
          <w:lang w:val="en-US" w:eastAsia="zh-CN" w:bidi="ar-SA"/>
        </w:rPr>
        <w:t>该项目由自治区本级财政每年安排专项资金予以保障，全区各高校学生资助管理人员提供人员保障；激励我区普通高等学校学生勤奋学习、努力进取，帮助其顺利完成学业，促进教育公平，提升学历层次，增强就业竞争力，促进教育公平和劳动者素质提高，推进科教兴桂战略和人才强桂战略实施。</w:t>
      </w:r>
    </w:p>
    <w:p w14:paraId="58BE163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2】可行性和必要性：自治区人民政府每年安排奖励资助资金予以保障，结合我区实际，我校严格执行《广西壮族自治区学生资助管理办法》，激励我校学生勤奋学习、潜心科研、勇于创新、积极进取，在全面实行</w:t>
      </w:r>
      <w:r>
        <w:rPr>
          <w:rFonts w:hint="eastAsia" w:hAnsi="宋体" w:cs="Times New Roman"/>
          <w:kern w:val="2"/>
          <w:sz w:val="32"/>
          <w:szCs w:val="32"/>
          <w:highlight w:val="none"/>
          <w:lang w:val="en-US" w:eastAsia="zh-CN" w:bidi="ar-SA"/>
        </w:rPr>
        <w:t>本专科学</w:t>
      </w:r>
      <w:r>
        <w:rPr>
          <w:rFonts w:hint="eastAsia" w:ascii="宋体" w:hAnsi="宋体" w:eastAsia="宋体" w:cs="Times New Roman"/>
          <w:kern w:val="2"/>
          <w:sz w:val="32"/>
          <w:szCs w:val="32"/>
          <w:highlight w:val="none"/>
          <w:lang w:val="en-US" w:eastAsia="zh-CN" w:bidi="ar-SA"/>
        </w:rPr>
        <w:t>生教育收费制度的情况下更好地支持</w:t>
      </w:r>
      <w:r>
        <w:rPr>
          <w:rFonts w:hint="eastAsia" w:hAnsi="宋体" w:cs="Times New Roman"/>
          <w:kern w:val="2"/>
          <w:sz w:val="32"/>
          <w:szCs w:val="32"/>
          <w:highlight w:val="none"/>
          <w:lang w:val="en-US" w:eastAsia="zh-CN" w:bidi="ar-SA"/>
        </w:rPr>
        <w:t>本专科学</w:t>
      </w:r>
      <w:r>
        <w:rPr>
          <w:rFonts w:hint="eastAsia" w:ascii="宋体" w:hAnsi="宋体" w:eastAsia="宋体" w:cs="Times New Roman"/>
          <w:kern w:val="2"/>
          <w:sz w:val="32"/>
          <w:szCs w:val="32"/>
          <w:highlight w:val="none"/>
          <w:lang w:val="en-US" w:eastAsia="zh-CN" w:bidi="ar-SA"/>
        </w:rPr>
        <w:t>生顺利完成学业。国家助学金体现了党和政府对普通本科高校中家庭经济困难学生的关怀，帮助他们顺利完成学业，并成功就业。</w:t>
      </w:r>
    </w:p>
    <w:p w14:paraId="33AA055B">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②项目内容</w:t>
      </w:r>
    </w:p>
    <w:p w14:paraId="70A54B6C">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该项目为经常性项目，主要任务内容和实施方案为按照一等助学金4700元/人/年 ，二等助学金3700元/人/年 ，三等助学金2700元/人/年为符合条件的学生发放本专科国家助学金，体现党和政府对普通本科高校中家庭经济困难学生的关怀，帮助他们顺利完成学业，并顺利就业。</w:t>
      </w:r>
    </w:p>
    <w:p w14:paraId="4DA8667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支持范围：南宁师范大学全日制本专科（含高职、第二学士学位）在校生中的家庭经济困难学生。</w:t>
      </w:r>
    </w:p>
    <w:p w14:paraId="596D76C7">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③事前绩效评估和项目年度绩效目标情况</w:t>
      </w:r>
    </w:p>
    <w:p w14:paraId="3EF5A8C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1】项目年度绩效目标情况：2026年通过项目支持，开展符合条件学生的本专科生国家助学金评选、审核、发放工作，达到资助学生人数约1721人，学生资助金发放流程合规率100%，助学金发放及时率100%，符合资助条件的本专科生受助率100%的目的，资助家庭经济困难学生，减轻家庭经济困难学生家庭经济负担，帮助其顺利完成学业，促进教育公平，通过项目实施激励</w:t>
      </w:r>
      <w:r>
        <w:rPr>
          <w:rFonts w:hint="eastAsia" w:hAnsi="宋体" w:cs="Times New Roman"/>
          <w:kern w:val="2"/>
          <w:sz w:val="32"/>
          <w:szCs w:val="32"/>
          <w:highlight w:val="none"/>
          <w:lang w:val="en-US" w:eastAsia="zh-CN" w:bidi="ar-SA"/>
        </w:rPr>
        <w:t>学生</w:t>
      </w:r>
      <w:r>
        <w:rPr>
          <w:rFonts w:hint="eastAsia" w:ascii="宋体" w:hAnsi="宋体" w:eastAsia="宋体" w:cs="Times New Roman"/>
          <w:kern w:val="2"/>
          <w:sz w:val="32"/>
          <w:szCs w:val="32"/>
          <w:highlight w:val="none"/>
          <w:lang w:val="en-US" w:eastAsia="zh-CN" w:bidi="ar-SA"/>
        </w:rPr>
        <w:t>发奋学习、潜心科研、勇于创新、积极进取，在全面实行研究生教育收费制度的情况下更好地支持符合条件学生顺利完成学业。同时该项目为学校完善学生奖助政策体系，助力学校充分发挥教育教学职能，提高办学能力与学校吸引力。</w:t>
      </w:r>
    </w:p>
    <w:p w14:paraId="28738E0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2】事前绩效评估：无。</w:t>
      </w:r>
    </w:p>
    <w:p w14:paraId="2DF3571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④资金来源</w:t>
      </w:r>
    </w:p>
    <w:p w14:paraId="1A73170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US" w:eastAsia="zh-CN" w:bidi="ar-SA"/>
        </w:rPr>
      </w:pPr>
      <w:r>
        <w:rPr>
          <w:rFonts w:hint="eastAsia" w:ascii="宋体" w:hAnsi="宋体" w:eastAsia="宋体" w:cs="Times New Roman"/>
          <w:kern w:val="2"/>
          <w:sz w:val="32"/>
          <w:szCs w:val="32"/>
          <w:highlight w:val="none"/>
          <w:lang w:val="en-US" w:eastAsia="zh-CN" w:bidi="ar-SA"/>
        </w:rPr>
        <w:t>一般公共预算（自治区资金）464.93万元。</w:t>
      </w:r>
    </w:p>
    <w:p w14:paraId="44D6EEC0">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第三部分：名词解释</w:t>
      </w:r>
    </w:p>
    <w:p w14:paraId="71369D0D">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1.财政拨款收入：自治区财政当年拨付的资金；</w:t>
      </w:r>
    </w:p>
    <w:p w14:paraId="225D031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2.部门基本支出预算：是指部门为保障其机构正常运转、完成日常工作任务而编制的年度基本支出计划，按其性质分为人员经费和日常公用经费；</w:t>
      </w:r>
    </w:p>
    <w:p w14:paraId="2BEC5EA2">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3.部门项目支出预算：是指部门为完成特定的行政任务或事业发展专项计划，在基本支出预算之外编制的年度支出计划；</w:t>
      </w:r>
    </w:p>
    <w:p w14:paraId="131A33C2">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4.教育支出：反映政府教育支出情况，包括教育管理事务支出、普通教育支出、成人教育等方面支出；</w:t>
      </w:r>
    </w:p>
    <w:p w14:paraId="53A4422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5.文化旅游体育与传媒支出：反映政府在文化、文物、体育、广播影视、新闻出版等方面的支出；</w:t>
      </w:r>
    </w:p>
    <w:p w14:paraId="26EC458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6.社会保障和就业支出：反映政府在社会保障和就业方面的支出，我校主要是由单位缴纳的基本养老保险费支出和职业年金等支出；</w:t>
      </w:r>
    </w:p>
    <w:p w14:paraId="65D20880">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7.医疗卫生与计划生育支出：反映政府医疗卫生与计划生育管理方面的支出，我校主要为基本医疗保险缴费经费；</w:t>
      </w:r>
    </w:p>
    <w:p w14:paraId="5DF742A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8.住房保障支出：是指单位按人力资源和社会保障部、财政部规定的基本工资和津贴补贴以及规定比例为职工缴纳的住房公积金；</w:t>
      </w:r>
    </w:p>
    <w:p w14:paraId="73A1F0D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9.商品服务支出：反映单位为满足日常工作需要购买商品和劳务的支出。具体包括办公费、水费、电费、邮电费、咨询费、印刷费、差旅费、工会经费、会议费、培训费、物业管理费、维修（护）费、租赁费等；</w:t>
      </w:r>
    </w:p>
    <w:p w14:paraId="2ADFF5B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10.对个人和家庭的补助支出：反映政府对个人和家庭的无偿性补助支出。具体包括离休费、退休费、退职（役）费、抚恤和生活补助、医疗费、住房公积金、助学金、其他等；</w:t>
      </w:r>
    </w:p>
    <w:p w14:paraId="6BB122E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11.“三公”经费支出：纳入财政预算管理的“三公”经费，是部门用财政拨款安排的因公出国（境）费、公务用车购置及运行费和公务接待费。其中：因公出国（境）费反映单位公务出国（境）的国际旅费、国外城市交通费、住宿费、伙食费、培训费、公杂费等支出；公务用车购置及运行费反映单位公务用车车辆购置支出（含车辆购置税）及租用费、燃料费、维修费、过路过桥费、保险费、安全奖励费等支出；公务接待费反映单位按规定开支的各类公务接待（含外宾接待）支出；</w:t>
      </w:r>
    </w:p>
    <w:p w14:paraId="77ED55E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r>
        <w:rPr>
          <w:rFonts w:hint="eastAsia" w:ascii="宋体" w:hAnsi="宋体" w:eastAsia="宋体" w:cs="Times New Roman"/>
          <w:kern w:val="2"/>
          <w:sz w:val="32"/>
          <w:szCs w:val="32"/>
          <w:highlight w:val="none"/>
          <w:lang w:val="en" w:eastAsia="zh-CN" w:bidi="ar-SA"/>
        </w:rPr>
        <w:t>12.机关（事业）单位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86F178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Times New Roman"/>
          <w:kern w:val="2"/>
          <w:sz w:val="32"/>
          <w:szCs w:val="32"/>
          <w:highlight w:val="none"/>
          <w:lang w:val="en" w:eastAsia="zh-CN" w:bidi="ar-SA"/>
        </w:rPr>
      </w:pPr>
    </w:p>
    <w:p w14:paraId="7CA187E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第四部分：</w:t>
      </w:r>
      <w:r>
        <w:rPr>
          <w:rFonts w:hint="eastAsia" w:ascii="黑体" w:hAnsi="黑体" w:eastAsia="黑体" w:cs="黑体"/>
          <w:sz w:val="32"/>
          <w:szCs w:val="32"/>
          <w:lang w:val="en-US" w:eastAsia="zh-CN"/>
        </w:rPr>
        <w:t>南宁师范大学</w:t>
      </w:r>
      <w:r>
        <w:rPr>
          <w:rFonts w:hint="eastAsia" w:ascii="黑体" w:hAnsi="黑体" w:eastAsia="黑体" w:cs="黑体"/>
          <w:sz w:val="32"/>
          <w:szCs w:val="32"/>
        </w:rPr>
        <w:t>202</w:t>
      </w:r>
      <w:r>
        <w:rPr>
          <w:rFonts w:hint="eastAsia" w:ascii="黑体" w:hAnsi="黑体" w:eastAsia="黑体" w:cs="黑体"/>
          <w:sz w:val="32"/>
          <w:szCs w:val="32"/>
          <w:lang w:val="en-US" w:eastAsia="zh-CN"/>
        </w:rPr>
        <w:t>6</w:t>
      </w:r>
      <w:r>
        <w:rPr>
          <w:rFonts w:hint="eastAsia" w:ascii="黑体" w:hAnsi="黑体" w:eastAsia="黑体" w:cs="黑体"/>
          <w:sz w:val="32"/>
          <w:szCs w:val="32"/>
        </w:rPr>
        <w:t>年部门预算报表</w:t>
      </w:r>
    </w:p>
    <w:p w14:paraId="78424384"/>
    <w:sectPr>
      <w:head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D652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60B97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860B97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9C2D8">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B2219F"/>
    <w:multiLevelType w:val="singleLevel"/>
    <w:tmpl w:val="F4B2219F"/>
    <w:lvl w:ilvl="0" w:tentative="0">
      <w:start w:val="1"/>
      <w:numFmt w:val="chineseCounting"/>
      <w:suff w:val="nothing"/>
      <w:lvlText w:val="%1、"/>
      <w:lvlJc w:val="left"/>
      <w:pPr>
        <w:ind w:left="1600" w:leftChars="0" w:firstLine="0" w:firstLineChars="0"/>
      </w:pPr>
      <w:rPr>
        <w:rFonts w:hint="eastAsia"/>
      </w:rPr>
    </w:lvl>
  </w:abstractNum>
  <w:abstractNum w:abstractNumId="1">
    <w:nsid w:val="24B55EE5"/>
    <w:multiLevelType w:val="singleLevel"/>
    <w:tmpl w:val="24B55EE5"/>
    <w:lvl w:ilvl="0" w:tentative="0">
      <w:start w:val="1"/>
      <w:numFmt w:val="decimal"/>
      <w:suff w:val="nothing"/>
      <w:lvlText w:val="（%1）"/>
      <w:lvlJc w:val="left"/>
    </w:lvl>
  </w:abstractNum>
  <w:abstractNum w:abstractNumId="2">
    <w:nsid w:val="564A5040"/>
    <w:multiLevelType w:val="singleLevel"/>
    <w:tmpl w:val="564A5040"/>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022CAA"/>
    <w:rsid w:val="00DC5E6F"/>
    <w:rsid w:val="017E5FA0"/>
    <w:rsid w:val="044E20D8"/>
    <w:rsid w:val="06540256"/>
    <w:rsid w:val="0B9C3F94"/>
    <w:rsid w:val="0D13046C"/>
    <w:rsid w:val="13250E46"/>
    <w:rsid w:val="140D0DAD"/>
    <w:rsid w:val="14121BC4"/>
    <w:rsid w:val="14C238EF"/>
    <w:rsid w:val="17373A74"/>
    <w:rsid w:val="1816377A"/>
    <w:rsid w:val="188E5849"/>
    <w:rsid w:val="18EA6763"/>
    <w:rsid w:val="1A371151"/>
    <w:rsid w:val="1A97792D"/>
    <w:rsid w:val="1AA2382E"/>
    <w:rsid w:val="1DD73658"/>
    <w:rsid w:val="217C0935"/>
    <w:rsid w:val="21AD635B"/>
    <w:rsid w:val="26BB4098"/>
    <w:rsid w:val="27CF7BE0"/>
    <w:rsid w:val="27DC203D"/>
    <w:rsid w:val="2BD46A31"/>
    <w:rsid w:val="2C444D5A"/>
    <w:rsid w:val="32C17C4E"/>
    <w:rsid w:val="33CD18B1"/>
    <w:rsid w:val="3AAA60BB"/>
    <w:rsid w:val="3B79633E"/>
    <w:rsid w:val="3BDE401E"/>
    <w:rsid w:val="41BD2C1A"/>
    <w:rsid w:val="46AC0EA4"/>
    <w:rsid w:val="474A49D8"/>
    <w:rsid w:val="48CA7928"/>
    <w:rsid w:val="4F2A749F"/>
    <w:rsid w:val="4FE826DA"/>
    <w:rsid w:val="50022CAA"/>
    <w:rsid w:val="515C2C15"/>
    <w:rsid w:val="54BA212F"/>
    <w:rsid w:val="567C0436"/>
    <w:rsid w:val="56BF331A"/>
    <w:rsid w:val="58FC3C67"/>
    <w:rsid w:val="59C01DDB"/>
    <w:rsid w:val="5AF44512"/>
    <w:rsid w:val="5B530396"/>
    <w:rsid w:val="5CC04963"/>
    <w:rsid w:val="5D59740F"/>
    <w:rsid w:val="60844C26"/>
    <w:rsid w:val="63DF02D4"/>
    <w:rsid w:val="63F02FA8"/>
    <w:rsid w:val="6B2111D2"/>
    <w:rsid w:val="6D2E0B45"/>
    <w:rsid w:val="6D844C77"/>
    <w:rsid w:val="6DF44C7C"/>
    <w:rsid w:val="7317522A"/>
    <w:rsid w:val="73A0182E"/>
    <w:rsid w:val="73BB2DEB"/>
    <w:rsid w:val="76C92E49"/>
    <w:rsid w:val="793D5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qFormat/>
    <w:uiPriority w:val="99"/>
    <w:pPr>
      <w:tabs>
        <w:tab w:val="center" w:pos="4140"/>
        <w:tab w:val="right" w:pos="8300"/>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List Paragraph"/>
    <w:basedOn w:val="1"/>
    <w:qFormat/>
    <w:uiPriority w:val="1"/>
    <w:pPr>
      <w:ind w:firstLine="42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8916</Words>
  <Characters>10142</Characters>
  <Lines>0</Lines>
  <Paragraphs>0</Paragraphs>
  <TotalTime>16</TotalTime>
  <ScaleCrop>false</ScaleCrop>
  <LinksUpToDate>false</LinksUpToDate>
  <CharactersWithSpaces>10163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2025-02-03T04:47:00Z</dcterms:created>
  <dc:creator>徐如飞</dc:creator>
  <cp:lastModifiedBy>徐如飞</cp:lastModifiedBy>
  <dcterms:modified xsi:type="dcterms:W3CDTF">2026-03-06T02:25:14Z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31ACA5F6094E45619A455C5F6A0D62EA_11</vt:lpwstr>
  </property>
  <property fmtid="{D5CDD505-2E9C-101B-9397-08002B2CF9AE}" pid="4" name="KSOTemplateDocerSaveRecord">
    <vt:lpwstr>eyJoZGlkIjoiY2M5NWY5YmQzN2ViODc1OWM5MDZlNDAzMjFjYmRmMDciLCJ1c2VySWQiOiIxNTUzNDc4NzczIn0=</vt:lpwstr>
  </property>
</Properties>
</file>