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F1B41">
      <w:pPr>
        <w:adjustRightInd w:val="0"/>
        <w:snapToGrid w:val="0"/>
        <w:spacing w:line="560" w:lineRule="exact"/>
        <w:ind w:right="-218" w:rightChars="-104"/>
        <w:jc w:val="center"/>
        <w:rPr>
          <w:rFonts w:hint="eastAsia" w:ascii="黑体" w:hAnsi="黑体" w:eastAsia="黑体" w:cs="黑体"/>
          <w:sz w:val="44"/>
          <w:szCs w:val="44"/>
        </w:rPr>
      </w:pPr>
    </w:p>
    <w:p w14:paraId="611D20F4">
      <w:pPr>
        <w:adjustRightInd w:val="0"/>
        <w:snapToGrid w:val="0"/>
        <w:spacing w:line="560" w:lineRule="exact"/>
        <w:ind w:right="-218" w:rightChars="-104"/>
        <w:jc w:val="center"/>
        <w:rPr>
          <w:rFonts w:hint="eastAsia" w:ascii="黑体" w:hAnsi="黑体" w:eastAsia="黑体" w:cs="黑体"/>
          <w:sz w:val="44"/>
          <w:szCs w:val="44"/>
        </w:rPr>
      </w:pPr>
    </w:p>
    <w:p w14:paraId="3A0648FD">
      <w:pPr>
        <w:adjustRightInd w:val="0"/>
        <w:snapToGrid w:val="0"/>
        <w:spacing w:line="560" w:lineRule="exact"/>
        <w:ind w:right="-218" w:rightChars="-104"/>
        <w:jc w:val="center"/>
        <w:rPr>
          <w:rFonts w:hint="eastAsia" w:ascii="黑体" w:hAnsi="黑体" w:eastAsia="黑体" w:cs="黑体"/>
          <w:sz w:val="44"/>
          <w:szCs w:val="44"/>
        </w:rPr>
      </w:pPr>
    </w:p>
    <w:p w14:paraId="32A382FD">
      <w:pPr>
        <w:adjustRightInd w:val="0"/>
        <w:snapToGrid w:val="0"/>
        <w:spacing w:line="560" w:lineRule="exact"/>
        <w:ind w:right="-218" w:rightChars="-104"/>
        <w:jc w:val="center"/>
        <w:rPr>
          <w:rFonts w:hint="eastAsia" w:ascii="黑体" w:hAnsi="黑体" w:eastAsia="黑体" w:cs="黑体"/>
          <w:sz w:val="44"/>
          <w:szCs w:val="44"/>
        </w:rPr>
      </w:pPr>
    </w:p>
    <w:p w14:paraId="73FA5013">
      <w:pPr>
        <w:adjustRightInd w:val="0"/>
        <w:snapToGrid w:val="0"/>
        <w:spacing w:line="560" w:lineRule="exact"/>
        <w:ind w:right="-218" w:rightChars="-104"/>
        <w:jc w:val="center"/>
        <w:rPr>
          <w:rFonts w:hint="eastAsia" w:ascii="黑体" w:hAnsi="黑体" w:eastAsia="黑体" w:cs="黑体"/>
          <w:sz w:val="44"/>
          <w:szCs w:val="44"/>
        </w:rPr>
      </w:pPr>
    </w:p>
    <w:p w14:paraId="76B8BC6D">
      <w:pPr>
        <w:adjustRightInd w:val="0"/>
        <w:snapToGrid w:val="0"/>
        <w:spacing w:line="560" w:lineRule="exact"/>
        <w:ind w:right="-218" w:rightChars="-104"/>
        <w:jc w:val="center"/>
        <w:rPr>
          <w:rFonts w:hint="eastAsia" w:ascii="黑体" w:hAnsi="黑体" w:eastAsia="黑体" w:cs="黑体"/>
          <w:sz w:val="44"/>
          <w:szCs w:val="44"/>
        </w:rPr>
      </w:pPr>
    </w:p>
    <w:p w14:paraId="5BEBD09D">
      <w:pPr>
        <w:adjustRightInd w:val="0"/>
        <w:snapToGrid w:val="0"/>
        <w:spacing w:line="560" w:lineRule="exact"/>
        <w:ind w:right="-218" w:rightChars="-104"/>
        <w:jc w:val="both"/>
        <w:rPr>
          <w:rFonts w:hint="eastAsia" w:ascii="黑体" w:hAnsi="黑体" w:eastAsia="黑体" w:cs="黑体"/>
          <w:sz w:val="44"/>
          <w:szCs w:val="44"/>
        </w:rPr>
      </w:pPr>
    </w:p>
    <w:p w14:paraId="16CA71EE">
      <w:pPr>
        <w:adjustRightInd w:val="0"/>
        <w:snapToGrid w:val="0"/>
        <w:spacing w:line="560" w:lineRule="exact"/>
        <w:ind w:right="-218" w:rightChars="-104"/>
        <w:jc w:val="center"/>
        <w:rPr>
          <w:rFonts w:hint="eastAsia" w:ascii="黑体" w:hAnsi="黑体" w:eastAsia="黑体" w:cs="黑体"/>
          <w:sz w:val="52"/>
          <w:szCs w:val="52"/>
        </w:rPr>
      </w:pPr>
      <w:r>
        <w:rPr>
          <w:rFonts w:hint="eastAsia" w:ascii="黑体" w:hAnsi="黑体" w:eastAsia="黑体" w:cs="黑体"/>
          <w:sz w:val="52"/>
          <w:szCs w:val="52"/>
        </w:rPr>
        <w:t>南宁师范大学202</w:t>
      </w:r>
      <w:r>
        <w:rPr>
          <w:rFonts w:hint="eastAsia" w:ascii="黑体" w:hAnsi="黑体" w:eastAsia="黑体" w:cs="黑体"/>
          <w:sz w:val="52"/>
          <w:szCs w:val="52"/>
          <w:lang w:val="en-US" w:eastAsia="zh-CN"/>
        </w:rPr>
        <w:t>5</w:t>
      </w:r>
      <w:r>
        <w:rPr>
          <w:rFonts w:hint="eastAsia" w:ascii="黑体" w:hAnsi="黑体" w:eastAsia="黑体" w:cs="黑体"/>
          <w:sz w:val="52"/>
          <w:szCs w:val="52"/>
        </w:rPr>
        <w:t>年部门预算公开</w:t>
      </w:r>
    </w:p>
    <w:p w14:paraId="763A528F">
      <w:pPr>
        <w:jc w:val="center"/>
        <w:rPr>
          <w:rFonts w:ascii="仿宋_GB2312"/>
          <w:sz w:val="30"/>
          <w:szCs w:val="30"/>
        </w:rPr>
      </w:pPr>
      <w:r>
        <w:rPr>
          <w:rFonts w:hint="eastAsia" w:ascii="仿宋_GB2312"/>
          <w:sz w:val="30"/>
          <w:szCs w:val="30"/>
        </w:rPr>
        <w:t>（包含南宁师范大学本级和南宁师范大学附属实验学校）</w:t>
      </w:r>
    </w:p>
    <w:p w14:paraId="37A7E545">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6B8BECD4">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13A22637">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7F4B79AE">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3389AB7F">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023B5DE4">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67F5526A">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1348CD98">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75F7F209">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7257676A">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38D2DD70">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351D817F">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729D1A8A">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582599FA">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4CFD4CFD">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1940D07A">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目  录</w:t>
      </w:r>
    </w:p>
    <w:p w14:paraId="0944B59A">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p>
    <w:p w14:paraId="3023B812">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第一部分：南宁师范大学概况</w:t>
      </w:r>
    </w:p>
    <w:p w14:paraId="2E8A4A2F">
      <w:pPr>
        <w:pStyle w:val="2"/>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一、南宁师范大学主要职能</w:t>
      </w:r>
    </w:p>
    <w:p w14:paraId="4696D724">
      <w:pPr>
        <w:pStyle w:val="2"/>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二、南宁师范大学机构设置与人员构成情况</w:t>
      </w:r>
    </w:p>
    <w:p w14:paraId="3DDBD2B1">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第二部分：南宁师范大学2025年部门预算情况说明</w:t>
      </w:r>
    </w:p>
    <w:p w14:paraId="07D45F7D">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部门预算收支增减变化情况说明</w:t>
      </w:r>
    </w:p>
    <w:p w14:paraId="3B2760B8">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部门预算收入总体情况说明</w:t>
      </w:r>
    </w:p>
    <w:p w14:paraId="5392737D">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部门预算支出总体情况说明</w:t>
      </w:r>
    </w:p>
    <w:p w14:paraId="2A8A84A7">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政府性基金预算支出情况说</w:t>
      </w:r>
    </w:p>
    <w:p w14:paraId="7269B867">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国有资本经营预算支出情况说明</w:t>
      </w:r>
    </w:p>
    <w:p w14:paraId="76AA328F">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一般公共预算“三公”经费支出情况说明</w:t>
      </w:r>
    </w:p>
    <w:p w14:paraId="7BB75135">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机关运行经费安排情况说明</w:t>
      </w:r>
    </w:p>
    <w:p w14:paraId="6CF2728F">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政府采购预算安排情况说明</w:t>
      </w:r>
    </w:p>
    <w:p w14:paraId="224912BE">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国有资产占用情况说明</w:t>
      </w:r>
    </w:p>
    <w:p w14:paraId="6E5C9A95">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rPr>
        <w:t>预算绩效目标情况说明</w:t>
      </w:r>
    </w:p>
    <w:p w14:paraId="2CAF366B">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第三部分：名词解释</w:t>
      </w:r>
    </w:p>
    <w:p w14:paraId="7E9D2C59">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第四部分：</w:t>
      </w:r>
      <w:r>
        <w:rPr>
          <w:rFonts w:hint="eastAsia" w:ascii="黑体" w:hAnsi="黑体" w:eastAsia="黑体" w:cs="黑体"/>
          <w:sz w:val="32"/>
          <w:szCs w:val="32"/>
          <w:lang w:val="en-US" w:eastAsia="zh-CN"/>
        </w:rPr>
        <w:t>南宁师范大学</w:t>
      </w:r>
      <w:r>
        <w:rPr>
          <w:rFonts w:hint="eastAsia" w:ascii="黑体" w:hAnsi="黑体" w:eastAsia="黑体" w:cs="黑体"/>
          <w:sz w:val="32"/>
          <w:szCs w:val="32"/>
        </w:rPr>
        <w:t>2025年部门预算报表</w:t>
      </w:r>
    </w:p>
    <w:p w14:paraId="25D6F3E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5A12FF61">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2E86AA2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1D64837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13C57CD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5FFE854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bookmarkStart w:id="2" w:name="_GoBack"/>
      <w:bookmarkEnd w:id="2"/>
    </w:p>
    <w:p w14:paraId="5CE4EACB">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第一部分：部门概况</w:t>
      </w:r>
    </w:p>
    <w:p w14:paraId="4995311A">
      <w:pPr>
        <w:pStyle w:val="2"/>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南宁师范大学主要职能</w:t>
      </w:r>
    </w:p>
    <w:p w14:paraId="174FC33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南宁师范大学本级：按照《中华人民共和国高等教育法》的有关规定，学校开展以本科教育、研究生教育、职业教育、成人教育和留学生教育等高等教育活动，为国家、地方培养服务经济建设与社会发展的各类人才。南宁师范大学是广西壮族自治区属全日制普通本科师范院校，主要职能是进行教学、科研、培训，为社会输送高素质的人才，发挥学科、科研和人才资源优势，为地方经济发展提供师资力量、科技服务和智力支撑。</w:t>
      </w:r>
    </w:p>
    <w:p w14:paraId="04A7054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宋体" w:hAnsi="宋体" w:eastAsia="宋体" w:cs="宋体"/>
          <w:sz w:val="32"/>
          <w:szCs w:val="32"/>
        </w:rPr>
        <w:t xml:space="preserve"> 南宁师范大学附属实验学校：根据《关于自治区教育厅所属事业单位清理规范意见的通知》（桂编〔2013〕123号文）规定，附属实验学校的基本职能是实施义务教育，促进基础教育发展。</w:t>
      </w:r>
      <w:r>
        <w:rPr>
          <w:rFonts w:hint="eastAsia" w:ascii="黑体" w:hAnsi="黑体" w:eastAsia="黑体" w:cs="黑体"/>
          <w:sz w:val="32"/>
          <w:szCs w:val="32"/>
        </w:rPr>
        <w:t xml:space="preserve"> </w:t>
      </w:r>
    </w:p>
    <w:p w14:paraId="6DDAE4C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二、机构设置情况</w:t>
      </w:r>
    </w:p>
    <w:p w14:paraId="647B9D68">
      <w:pPr>
        <w:spacing w:line="560" w:lineRule="exact"/>
        <w:ind w:firstLine="640" w:firstLineChars="200"/>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南宁师范大学本级：根据《广西壮族自治区机构编制委员会关于印发〈自治区党委编办关于调整自治区教育厅所属事业单位机构编制事项的批复〉》（桂编办复〔2019〕115号）精神，南宁师范大学为公益二类事业单位。学校本级共设置党务和学校事务管理机构19个，教学教辅科研机构34个。根据自治区编委《关于调整自治区教育厅所属事业单位机构编制事项的批复》（桂编办复〔2019〕115号）规定，南宁师范大学事业编制1427名，工勤人员编制数50人，后勤服务控制数中的老办法聘用23人，非实名编制控制数614人，编制外聘用制人员共614人，离退休人员1151人，工资标准和社会保障缴费按照《广西壮族自治区人民政府办公厅转发人力资源社会保障厅财政厅关于调整机关事业单位工作人员基本工资标准和增加离退休人员离退休费三个实施意见的通知》（桂政办发〔2015〕55号）执行。2024年</w:t>
      </w:r>
      <w:r>
        <w:rPr>
          <w:rFonts w:hint="eastAsia" w:ascii="宋体" w:hAnsi="宋体" w:cs="宋体"/>
          <w:kern w:val="2"/>
          <w:sz w:val="32"/>
          <w:szCs w:val="32"/>
          <w:lang w:val="en-US" w:eastAsia="zh-CN" w:bidi="ar-SA"/>
        </w:rPr>
        <w:t>南宁师范大学本级</w:t>
      </w:r>
      <w:r>
        <w:rPr>
          <w:rFonts w:hint="eastAsia" w:ascii="宋体" w:hAnsi="宋体" w:eastAsia="宋体" w:cs="宋体"/>
          <w:kern w:val="2"/>
          <w:sz w:val="32"/>
          <w:szCs w:val="32"/>
          <w:lang w:val="en-US" w:eastAsia="zh-CN" w:bidi="ar-SA"/>
        </w:rPr>
        <w:t>全日制在校生32538人，其中在校本科生28033人，专科生389人，研究生3729人，留学生96人（本科生69人，硕士研究生27人），预科生291人。</w:t>
      </w:r>
    </w:p>
    <w:p w14:paraId="27E4D66B">
      <w:pPr>
        <w:spacing w:line="560" w:lineRule="exact"/>
        <w:ind w:firstLine="640" w:firstLineChars="200"/>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南宁师范大学附属实验学校:机构设置由校长办公室、政教室、总务办、财务室、信息办、安全与维稳办公室、工会等部门组成。根据桂编局〔1988〕47号文件规定，南宁师范大学附属实验学校事业编制44名，现有在职在编职工40名，退休职工33名。</w:t>
      </w:r>
    </w:p>
    <w:p w14:paraId="3FCBF0D2">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第二部分：</w:t>
      </w:r>
      <w:r>
        <w:rPr>
          <w:rFonts w:hint="eastAsia" w:ascii="黑体" w:hAnsi="黑体" w:eastAsia="黑体" w:cs="黑体"/>
          <w:sz w:val="32"/>
          <w:szCs w:val="32"/>
          <w:lang w:val="en-US" w:eastAsia="zh-CN"/>
        </w:rPr>
        <w:t>南宁师范大学</w:t>
      </w:r>
      <w:r>
        <w:rPr>
          <w:rFonts w:hint="eastAsia" w:ascii="黑体" w:hAnsi="黑体" w:eastAsia="黑体" w:cs="黑体"/>
          <w:sz w:val="32"/>
          <w:szCs w:val="32"/>
        </w:rPr>
        <w:t>2025年部门预算情况说明</w:t>
      </w:r>
    </w:p>
    <w:p w14:paraId="6D639A1C">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一、部门预算收支增减变化情况说明</w:t>
      </w:r>
    </w:p>
    <w:p w14:paraId="60263AC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2025年收入总预算131316.87万元，同比增加18039.21万元，增长15.92％。增加原因一是学校实现扩招，所获生均拨款相应增加以支持学校各方面运转与发展；二是学校办学规模扩大，各校区建设更为完善，教学相关的非税收入（学费、住宿费等）增加；三是学校充分发挥多方面职能，事业收入、其他收入以及科研相关收入增加。</w:t>
      </w:r>
    </w:p>
    <w:p w14:paraId="1B132C2B">
      <w:pPr>
        <w:spacing w:line="560" w:lineRule="exact"/>
        <w:ind w:firstLine="640" w:firstLineChars="200"/>
        <w:rPr>
          <w:rFonts w:hint="eastAsia" w:ascii="宋体" w:hAnsi="宋体" w:eastAsia="宋体" w:cs="宋体"/>
          <w:kern w:val="2"/>
          <w:sz w:val="32"/>
          <w:szCs w:val="32"/>
          <w:lang w:val="en-US" w:eastAsia="zh-CN" w:bidi="ar-SA"/>
        </w:rPr>
      </w:pPr>
      <w:r>
        <w:rPr>
          <w:rFonts w:hint="default" w:ascii="宋体" w:hAnsi="宋体" w:eastAsia="宋体" w:cs="宋体"/>
          <w:kern w:val="2"/>
          <w:sz w:val="32"/>
          <w:szCs w:val="32"/>
          <w:lang w:val="en-US" w:eastAsia="zh-CN" w:bidi="ar-SA"/>
        </w:rPr>
        <w:t>2025年支出预算131316.87万元，同比增加18039.21万元，增长15.92％。</w:t>
      </w:r>
      <w:r>
        <w:rPr>
          <w:rFonts w:hint="eastAsia" w:ascii="宋体" w:hAnsi="宋体" w:eastAsia="宋体" w:cs="宋体"/>
          <w:kern w:val="2"/>
          <w:sz w:val="32"/>
          <w:szCs w:val="32"/>
          <w:lang w:val="en-US" w:eastAsia="zh-CN" w:bidi="ar-SA"/>
        </w:rPr>
        <w:t>增加原因一是随着学校办学规模扩大，在校教职工人数增加，教学、科研任务较以往更为丰富，人员经费相应增加；</w:t>
      </w:r>
      <w:r>
        <w:rPr>
          <w:rFonts w:hint="eastAsia" w:ascii="宋体" w:hAnsi="宋体" w:cs="宋体"/>
          <w:kern w:val="2"/>
          <w:sz w:val="32"/>
          <w:szCs w:val="32"/>
          <w:lang w:val="en-US" w:eastAsia="zh-CN" w:bidi="ar-SA"/>
        </w:rPr>
        <w:t>二是</w:t>
      </w:r>
      <w:r>
        <w:rPr>
          <w:rFonts w:hint="eastAsia" w:ascii="宋体" w:hAnsi="宋体" w:eastAsia="宋体" w:cs="宋体"/>
          <w:kern w:val="2"/>
          <w:sz w:val="32"/>
          <w:szCs w:val="32"/>
          <w:lang w:val="en" w:eastAsia="zh-CN" w:bidi="ar-SA"/>
        </w:rPr>
        <w:t>学校</w:t>
      </w:r>
      <w:r>
        <w:rPr>
          <w:rFonts w:hint="eastAsia" w:ascii="宋体" w:hAnsi="宋体" w:eastAsia="宋体" w:cs="宋体"/>
          <w:kern w:val="2"/>
          <w:sz w:val="32"/>
          <w:szCs w:val="32"/>
          <w:lang w:val="en-US" w:eastAsia="zh-CN" w:bidi="ar-SA"/>
        </w:rPr>
        <w:t>在教学、行政、科研等方面全面发展，</w:t>
      </w:r>
      <w:r>
        <w:rPr>
          <w:rFonts w:hint="eastAsia" w:ascii="宋体" w:hAnsi="宋体" w:cs="宋体"/>
          <w:kern w:val="2"/>
          <w:sz w:val="32"/>
          <w:szCs w:val="32"/>
          <w:lang w:val="en-US" w:eastAsia="zh-CN" w:bidi="ar-SA"/>
        </w:rPr>
        <w:t>随着</w:t>
      </w:r>
      <w:r>
        <w:rPr>
          <w:rFonts w:hint="eastAsia" w:ascii="宋体" w:hAnsi="宋体" w:eastAsia="宋体" w:cs="宋体"/>
          <w:kern w:val="2"/>
          <w:sz w:val="32"/>
          <w:szCs w:val="32"/>
          <w:lang w:val="en-US" w:eastAsia="zh-CN" w:bidi="ar-SA"/>
        </w:rPr>
        <w:t>学生人数增加，校区建设更为完善，教学、科研设施日益丰富，相应运转支出增加，如用财政专户资金安排的项目公用项目因安排学校合作办学分成款</w:t>
      </w:r>
      <w:r>
        <w:rPr>
          <w:rFonts w:hint="eastAsia" w:ascii="宋体" w:hAnsi="宋体" w:cs="宋体"/>
          <w:kern w:val="2"/>
          <w:sz w:val="32"/>
          <w:szCs w:val="32"/>
          <w:lang w:val="en-US" w:eastAsia="zh-CN" w:bidi="ar-SA"/>
        </w:rPr>
        <w:t>等，</w:t>
      </w:r>
      <w:r>
        <w:rPr>
          <w:rFonts w:hint="eastAsia" w:ascii="宋体" w:hAnsi="宋体" w:eastAsia="宋体" w:cs="宋体"/>
          <w:kern w:val="2"/>
          <w:sz w:val="32"/>
          <w:szCs w:val="32"/>
          <w:lang w:val="en-US" w:eastAsia="zh-CN" w:bidi="ar-SA"/>
        </w:rPr>
        <w:t>申报数较2024年大幅度增加</w:t>
      </w:r>
      <w:r>
        <w:rPr>
          <w:rFonts w:hint="eastAsia" w:ascii="宋体" w:hAnsi="宋体" w:cs="宋体"/>
          <w:kern w:val="2"/>
          <w:sz w:val="32"/>
          <w:szCs w:val="32"/>
          <w:lang w:val="en-US" w:eastAsia="zh-CN" w:bidi="ar-SA"/>
        </w:rPr>
        <w:t>。</w:t>
      </w:r>
    </w:p>
    <w:p w14:paraId="64ADF08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二、部门预算收入总体情况说明</w:t>
      </w:r>
    </w:p>
    <w:p w14:paraId="1FEF4DD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宋体" w:cs="宋体"/>
          <w:kern w:val="2"/>
          <w:sz w:val="32"/>
          <w:szCs w:val="32"/>
          <w:lang w:val="en-US" w:eastAsia="zh-CN" w:bidi="ar-SA"/>
        </w:rPr>
      </w:pPr>
      <w:r>
        <w:rPr>
          <w:rFonts w:hint="eastAsia" w:ascii="宋体" w:hAnsi="宋体" w:eastAsia="宋体" w:cs="宋体"/>
          <w:kern w:val="2"/>
          <w:sz w:val="32"/>
          <w:szCs w:val="32"/>
          <w:lang w:val="en-US" w:eastAsia="zh-CN" w:bidi="ar-SA"/>
        </w:rPr>
        <w:t>2025年收入总预算131316.87万元，同比增加18039.21万元，增长15.92％。</w:t>
      </w:r>
      <w:r>
        <w:rPr>
          <w:rFonts w:hint="eastAsia" w:hAnsi="宋体" w:cs="宋体"/>
          <w:kern w:val="2"/>
          <w:sz w:val="32"/>
          <w:szCs w:val="32"/>
          <w:lang w:val="en-US" w:eastAsia="zh-CN" w:bidi="ar-SA"/>
        </w:rPr>
        <w:t>其中：</w:t>
      </w:r>
    </w:p>
    <w:p w14:paraId="7726FDE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（1）一般公共预算收入62634.99万元，同比增加3553.65万元，增长6.01％，增加原因</w:t>
      </w:r>
      <w:r>
        <w:rPr>
          <w:rFonts w:hint="eastAsia" w:hAnsi="宋体" w:cs="宋体"/>
          <w:kern w:val="2"/>
          <w:sz w:val="32"/>
          <w:szCs w:val="32"/>
          <w:lang w:val="en-US" w:eastAsia="zh-CN" w:bidi="ar-SA"/>
        </w:rPr>
        <w:t>为</w:t>
      </w:r>
      <w:r>
        <w:rPr>
          <w:rFonts w:hint="eastAsia" w:ascii="宋体" w:hAnsi="宋体" w:eastAsia="宋体" w:cs="宋体"/>
          <w:kern w:val="2"/>
          <w:sz w:val="32"/>
          <w:szCs w:val="32"/>
          <w:lang w:val="en-US" w:eastAsia="zh-CN" w:bidi="ar-SA"/>
        </w:rPr>
        <w:t>学校实现扩招，所获生均拨款相应增加以支持学校各方面运转与发展。</w:t>
      </w:r>
    </w:p>
    <w:p w14:paraId="0D47180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（2）政府性基金预算收入48</w:t>
      </w:r>
      <w:r>
        <w:rPr>
          <w:rFonts w:hint="eastAsia" w:hAnsi="宋体" w:cs="宋体"/>
          <w:kern w:val="2"/>
          <w:sz w:val="32"/>
          <w:szCs w:val="32"/>
          <w:lang w:val="en-US" w:eastAsia="zh-CN" w:bidi="ar-SA"/>
        </w:rPr>
        <w:t>.00</w:t>
      </w:r>
      <w:r>
        <w:rPr>
          <w:rFonts w:hint="eastAsia" w:ascii="宋体" w:hAnsi="宋体" w:eastAsia="宋体" w:cs="宋体"/>
          <w:kern w:val="2"/>
          <w:sz w:val="32"/>
          <w:szCs w:val="32"/>
          <w:lang w:val="en-US" w:eastAsia="zh-CN" w:bidi="ar-SA"/>
        </w:rPr>
        <w:t>万元，同比增加10</w:t>
      </w:r>
      <w:r>
        <w:rPr>
          <w:rFonts w:hint="eastAsia" w:hAnsi="宋体" w:cs="宋体"/>
          <w:kern w:val="2"/>
          <w:sz w:val="32"/>
          <w:szCs w:val="32"/>
          <w:lang w:val="en-US" w:eastAsia="zh-CN" w:bidi="ar-SA"/>
        </w:rPr>
        <w:t>.00</w:t>
      </w:r>
      <w:r>
        <w:rPr>
          <w:rFonts w:hint="eastAsia" w:ascii="宋体" w:hAnsi="宋体" w:eastAsia="宋体" w:cs="宋体"/>
          <w:kern w:val="2"/>
          <w:sz w:val="32"/>
          <w:szCs w:val="32"/>
          <w:lang w:val="en-US" w:eastAsia="zh-CN" w:bidi="ar-SA"/>
        </w:rPr>
        <w:t>万元，增长26.32％，增加原因为2025年新增中央集中彩票公益金支持体育事业资金财政专项，该项目经费收入为10</w:t>
      </w:r>
      <w:r>
        <w:rPr>
          <w:rFonts w:hint="eastAsia" w:hAnsi="宋体" w:cs="宋体"/>
          <w:kern w:val="2"/>
          <w:sz w:val="32"/>
          <w:szCs w:val="32"/>
          <w:lang w:val="en-US" w:eastAsia="zh-CN" w:bidi="ar-SA"/>
        </w:rPr>
        <w:t>.00</w:t>
      </w:r>
      <w:r>
        <w:rPr>
          <w:rFonts w:hint="eastAsia" w:ascii="宋体" w:hAnsi="宋体" w:eastAsia="宋体" w:cs="宋体"/>
          <w:kern w:val="2"/>
          <w:sz w:val="32"/>
          <w:szCs w:val="32"/>
          <w:lang w:val="en-US" w:eastAsia="zh-CN" w:bidi="ar-SA"/>
        </w:rPr>
        <w:t>万元，资金性质为政府性基金。</w:t>
      </w:r>
    </w:p>
    <w:p w14:paraId="2305985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（3）国有资本经营预算收入0万元。</w:t>
      </w:r>
    </w:p>
    <w:p w14:paraId="60F29BA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（4）财政专户管理资金收入46744.4</w:t>
      </w:r>
      <w:r>
        <w:rPr>
          <w:rFonts w:hint="eastAsia" w:hAnsi="宋体" w:cs="宋体"/>
          <w:kern w:val="2"/>
          <w:sz w:val="32"/>
          <w:szCs w:val="32"/>
          <w:lang w:val="en-US" w:eastAsia="zh-CN" w:bidi="ar-SA"/>
        </w:rPr>
        <w:t>9</w:t>
      </w:r>
      <w:r>
        <w:rPr>
          <w:rFonts w:hint="eastAsia" w:ascii="宋体" w:hAnsi="宋体" w:eastAsia="宋体" w:cs="宋体"/>
          <w:kern w:val="2"/>
          <w:sz w:val="32"/>
          <w:szCs w:val="32"/>
          <w:lang w:val="en-US" w:eastAsia="zh-CN" w:bidi="ar-SA"/>
        </w:rPr>
        <w:t>万元，同比增加12281.17万元，增长35.64％，增加原因为学校办学规模扩大，2024年与2025年实现扩招，教学相关非税收入如学费、住宿费等增加，另外，学校合作办学收入有所增长。</w:t>
      </w:r>
    </w:p>
    <w:p w14:paraId="7DE34C96">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（5）单位资金收入11700.00万元，同比增加1020.00万元，增长9.55％，增加原因为学校办学规模扩大，2024年与2025年实现扩招，为满足在校师生用餐需求，学校食堂建设不断完善，食堂运转收入相应增加。</w:t>
      </w:r>
    </w:p>
    <w:p w14:paraId="0B3ED00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hAnsi="宋体" w:cs="宋体"/>
          <w:kern w:val="2"/>
          <w:sz w:val="32"/>
          <w:szCs w:val="32"/>
          <w:lang w:val="en-US" w:eastAsia="zh-CN" w:bidi="ar-SA"/>
        </w:rPr>
      </w:pPr>
      <w:r>
        <w:rPr>
          <w:rFonts w:hint="eastAsia" w:ascii="宋体" w:hAnsi="宋体" w:eastAsia="宋体" w:cs="宋体"/>
          <w:kern w:val="2"/>
          <w:sz w:val="32"/>
          <w:szCs w:val="32"/>
          <w:lang w:val="en-US" w:eastAsia="zh-CN" w:bidi="ar-SA"/>
        </w:rPr>
        <w:t>（6）上年结转结余10189.39万元，同比增加1174.393万元，增长13.03％，增加原因为学校科研相关基础设施建设不断完善，科研人才队伍建设日渐壮大，学校获得更多科研相关收入。</w:t>
      </w:r>
    </w:p>
    <w:p w14:paraId="322319DB">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三、部门预算支出总体情况说明</w:t>
      </w:r>
    </w:p>
    <w:p w14:paraId="0B9DFE66">
      <w:pPr>
        <w:spacing w:line="560" w:lineRule="exact"/>
        <w:ind w:firstLine="640" w:firstLineChars="200"/>
        <w:rPr>
          <w:rFonts w:hint="eastAsia" w:ascii="宋体" w:hAnsi="宋体" w:eastAsia="宋体" w:cs="宋体"/>
          <w:kern w:val="2"/>
          <w:sz w:val="32"/>
          <w:szCs w:val="32"/>
          <w:lang w:val="en" w:eastAsia="zh-CN" w:bidi="ar-SA"/>
        </w:rPr>
      </w:pPr>
      <w:r>
        <w:rPr>
          <w:rFonts w:hint="eastAsia" w:ascii="宋体" w:hAnsi="宋体" w:eastAsia="宋体" w:cs="宋体"/>
          <w:kern w:val="2"/>
          <w:sz w:val="32"/>
          <w:szCs w:val="32"/>
          <w:lang w:val="en" w:eastAsia="zh-CN" w:bidi="ar-SA"/>
        </w:rPr>
        <w:t>2025年支出预算</w:t>
      </w:r>
      <w:r>
        <w:rPr>
          <w:rFonts w:hint="eastAsia" w:ascii="宋体" w:hAnsi="宋体" w:eastAsia="宋体" w:cs="宋体"/>
          <w:kern w:val="2"/>
          <w:sz w:val="32"/>
          <w:szCs w:val="32"/>
          <w:lang w:val="en-US" w:eastAsia="zh-CN" w:bidi="ar-SA"/>
        </w:rPr>
        <w:t>131316.87</w:t>
      </w:r>
      <w:r>
        <w:rPr>
          <w:rFonts w:hint="eastAsia" w:ascii="宋体" w:hAnsi="宋体" w:eastAsia="宋体" w:cs="宋体"/>
          <w:kern w:val="2"/>
          <w:sz w:val="32"/>
          <w:szCs w:val="32"/>
          <w:lang w:val="en" w:eastAsia="zh-CN" w:bidi="ar-SA"/>
        </w:rPr>
        <w:t>万元，同比增加</w:t>
      </w:r>
      <w:r>
        <w:rPr>
          <w:rFonts w:hint="eastAsia" w:ascii="宋体" w:hAnsi="宋体" w:eastAsia="宋体" w:cs="宋体"/>
          <w:kern w:val="2"/>
          <w:sz w:val="32"/>
          <w:szCs w:val="32"/>
          <w:lang w:val="en-US" w:eastAsia="zh-CN" w:bidi="ar-SA"/>
        </w:rPr>
        <w:t>18039.21</w:t>
      </w:r>
      <w:r>
        <w:rPr>
          <w:rFonts w:hint="eastAsia" w:ascii="宋体" w:hAnsi="宋体" w:eastAsia="宋体" w:cs="宋体"/>
          <w:kern w:val="2"/>
          <w:sz w:val="32"/>
          <w:szCs w:val="32"/>
          <w:lang w:val="en" w:eastAsia="zh-CN" w:bidi="ar-SA"/>
        </w:rPr>
        <w:t>万元，增长</w:t>
      </w:r>
      <w:bookmarkStart w:id="0" w:name="OLE_LINK7"/>
      <w:bookmarkStart w:id="1" w:name="OLE_LINK8"/>
      <w:r>
        <w:rPr>
          <w:rFonts w:hint="eastAsia" w:ascii="宋体" w:hAnsi="宋体" w:eastAsia="宋体" w:cs="宋体"/>
          <w:kern w:val="2"/>
          <w:sz w:val="32"/>
          <w:szCs w:val="32"/>
          <w:lang w:val="en-US" w:eastAsia="zh-CN" w:bidi="ar-SA"/>
        </w:rPr>
        <w:t>15.92</w:t>
      </w:r>
      <w:r>
        <w:rPr>
          <w:rFonts w:hint="eastAsia" w:ascii="宋体" w:hAnsi="宋体" w:eastAsia="宋体" w:cs="宋体"/>
          <w:kern w:val="2"/>
          <w:sz w:val="32"/>
          <w:szCs w:val="32"/>
          <w:lang w:val="en" w:eastAsia="zh-CN" w:bidi="ar-SA"/>
        </w:rPr>
        <w:t>％</w:t>
      </w:r>
      <w:bookmarkEnd w:id="0"/>
      <w:bookmarkEnd w:id="1"/>
      <w:r>
        <w:rPr>
          <w:rFonts w:hint="eastAsia" w:ascii="宋体" w:hAnsi="宋体" w:eastAsia="宋体" w:cs="宋体"/>
          <w:kern w:val="2"/>
          <w:sz w:val="32"/>
          <w:szCs w:val="32"/>
          <w:lang w:val="en" w:eastAsia="zh-CN" w:bidi="ar-SA"/>
        </w:rPr>
        <w:t>。其中：</w:t>
      </w:r>
    </w:p>
    <w:p w14:paraId="6B2068E3">
      <w:pPr>
        <w:spacing w:line="560" w:lineRule="exact"/>
        <w:ind w:firstLine="640" w:firstLineChars="200"/>
        <w:rPr>
          <w:rFonts w:hint="eastAsia" w:ascii="宋体" w:hAnsi="宋体" w:eastAsia="宋体" w:cs="宋体"/>
          <w:kern w:val="2"/>
          <w:sz w:val="32"/>
          <w:szCs w:val="32"/>
          <w:lang w:val="en" w:eastAsia="zh-CN" w:bidi="ar-SA"/>
        </w:rPr>
      </w:pPr>
      <w:r>
        <w:rPr>
          <w:rFonts w:hint="eastAsia" w:ascii="宋体" w:hAnsi="宋体" w:eastAsia="宋体" w:cs="宋体"/>
          <w:kern w:val="2"/>
          <w:sz w:val="32"/>
          <w:szCs w:val="32"/>
          <w:lang w:val="en" w:eastAsia="zh-CN" w:bidi="ar-SA"/>
        </w:rPr>
        <w:t>（1）本年支出预算</w:t>
      </w:r>
      <w:r>
        <w:rPr>
          <w:rFonts w:hint="eastAsia" w:ascii="宋体" w:hAnsi="宋体" w:eastAsia="宋体" w:cs="宋体"/>
          <w:kern w:val="2"/>
          <w:sz w:val="32"/>
          <w:szCs w:val="32"/>
          <w:lang w:val="en-US" w:eastAsia="zh-CN" w:bidi="ar-SA"/>
        </w:rPr>
        <w:t>131316.87</w:t>
      </w:r>
      <w:r>
        <w:rPr>
          <w:rFonts w:hint="eastAsia" w:ascii="宋体" w:hAnsi="宋体" w:eastAsia="宋体" w:cs="宋体"/>
          <w:kern w:val="2"/>
          <w:sz w:val="32"/>
          <w:szCs w:val="32"/>
          <w:lang w:val="en" w:eastAsia="zh-CN" w:bidi="ar-SA"/>
        </w:rPr>
        <w:t>万元，同比增加</w:t>
      </w:r>
      <w:r>
        <w:rPr>
          <w:rFonts w:hint="eastAsia" w:ascii="宋体" w:hAnsi="宋体" w:eastAsia="宋体" w:cs="宋体"/>
          <w:kern w:val="2"/>
          <w:sz w:val="32"/>
          <w:szCs w:val="32"/>
          <w:lang w:val="en-US" w:eastAsia="zh-CN" w:bidi="ar-SA"/>
        </w:rPr>
        <w:t>18039.21</w:t>
      </w:r>
      <w:r>
        <w:rPr>
          <w:rFonts w:hint="eastAsia" w:ascii="宋体" w:hAnsi="宋体" w:eastAsia="宋体" w:cs="宋体"/>
          <w:kern w:val="2"/>
          <w:sz w:val="32"/>
          <w:szCs w:val="32"/>
          <w:lang w:val="en" w:eastAsia="zh-CN" w:bidi="ar-SA"/>
        </w:rPr>
        <w:t>万元，增长</w:t>
      </w:r>
      <w:r>
        <w:rPr>
          <w:rFonts w:hint="eastAsia" w:ascii="宋体" w:hAnsi="宋体" w:eastAsia="宋体" w:cs="宋体"/>
          <w:kern w:val="2"/>
          <w:sz w:val="32"/>
          <w:szCs w:val="32"/>
          <w:lang w:val="en-US" w:eastAsia="zh-CN" w:bidi="ar-SA"/>
        </w:rPr>
        <w:t>15.92</w:t>
      </w:r>
      <w:r>
        <w:rPr>
          <w:rFonts w:hint="eastAsia" w:ascii="宋体" w:hAnsi="宋体" w:eastAsia="宋体" w:cs="宋体"/>
          <w:kern w:val="2"/>
          <w:sz w:val="32"/>
          <w:szCs w:val="32"/>
          <w:lang w:val="en" w:eastAsia="zh-CN" w:bidi="ar-SA"/>
        </w:rPr>
        <w:t>％。</w:t>
      </w:r>
    </w:p>
    <w:p w14:paraId="235CF99E">
      <w:pPr>
        <w:spacing w:line="560" w:lineRule="exact"/>
        <w:ind w:firstLine="640" w:firstLineChars="200"/>
        <w:rPr>
          <w:rFonts w:hint="eastAsia" w:ascii="宋体" w:hAnsi="宋体" w:eastAsia="宋体" w:cs="宋体"/>
          <w:kern w:val="2"/>
          <w:sz w:val="32"/>
          <w:szCs w:val="32"/>
          <w:lang w:val="en" w:eastAsia="zh-CN" w:bidi="ar-SA"/>
        </w:rPr>
      </w:pPr>
      <w:r>
        <w:rPr>
          <w:rFonts w:hint="eastAsia" w:ascii="宋体" w:hAnsi="宋体" w:eastAsia="宋体" w:cs="宋体"/>
          <w:kern w:val="2"/>
          <w:sz w:val="32"/>
          <w:szCs w:val="32"/>
          <w:lang w:val="en" w:eastAsia="zh-CN" w:bidi="ar-SA"/>
        </w:rPr>
        <w:t>①按支出功能分类科目划分，共分为</w:t>
      </w:r>
      <w:r>
        <w:rPr>
          <w:rFonts w:hint="eastAsia" w:ascii="宋体" w:hAnsi="宋体" w:eastAsia="宋体" w:cs="宋体"/>
          <w:kern w:val="2"/>
          <w:sz w:val="32"/>
          <w:szCs w:val="32"/>
          <w:lang w:val="en-US" w:eastAsia="zh-CN" w:bidi="ar-SA"/>
        </w:rPr>
        <w:t>9</w:t>
      </w:r>
      <w:r>
        <w:rPr>
          <w:rFonts w:hint="eastAsia" w:ascii="宋体" w:hAnsi="宋体" w:eastAsia="宋体" w:cs="宋体"/>
          <w:kern w:val="2"/>
          <w:sz w:val="32"/>
          <w:szCs w:val="32"/>
          <w:lang w:val="en" w:eastAsia="zh-CN" w:bidi="ar-SA"/>
        </w:rPr>
        <w:t>类，其中：</w:t>
      </w:r>
    </w:p>
    <w:p w14:paraId="1D5305F1">
      <w:pPr>
        <w:spacing w:line="560" w:lineRule="exact"/>
        <w:ind w:firstLine="640" w:firstLineChars="200"/>
        <w:rPr>
          <w:rFonts w:hint="eastAsia" w:ascii="宋体" w:hAnsi="宋体" w:eastAsia="宋体" w:cs="宋体"/>
          <w:kern w:val="2"/>
          <w:sz w:val="32"/>
          <w:szCs w:val="32"/>
          <w:lang w:val="en" w:eastAsia="zh-CN" w:bidi="ar-SA"/>
        </w:rPr>
      </w:pPr>
      <w:r>
        <w:rPr>
          <w:rFonts w:hint="eastAsia" w:ascii="宋体" w:hAnsi="宋体" w:eastAsia="宋体" w:cs="宋体"/>
          <w:kern w:val="2"/>
          <w:sz w:val="32"/>
          <w:szCs w:val="32"/>
          <w:lang w:val="en" w:eastAsia="zh-CN" w:bidi="ar-SA"/>
        </w:rPr>
        <w:t>高等教育类科目支出</w:t>
      </w:r>
      <w:r>
        <w:rPr>
          <w:rFonts w:hint="eastAsia" w:ascii="宋体" w:hAnsi="宋体" w:eastAsia="宋体" w:cs="宋体"/>
          <w:kern w:val="2"/>
          <w:sz w:val="32"/>
          <w:szCs w:val="32"/>
          <w:lang w:val="en-US" w:eastAsia="zh-CN" w:bidi="ar-SA"/>
        </w:rPr>
        <w:t>124375.10</w:t>
      </w:r>
      <w:r>
        <w:rPr>
          <w:rFonts w:hint="eastAsia" w:ascii="宋体" w:hAnsi="宋体" w:eastAsia="宋体" w:cs="宋体"/>
          <w:kern w:val="2"/>
          <w:sz w:val="32"/>
          <w:szCs w:val="32"/>
          <w:lang w:val="en" w:eastAsia="zh-CN" w:bidi="ar-SA"/>
        </w:rPr>
        <w:t>万元，占本年支出预算9</w:t>
      </w:r>
      <w:r>
        <w:rPr>
          <w:rFonts w:hint="eastAsia" w:ascii="宋体" w:hAnsi="宋体" w:eastAsia="宋体" w:cs="宋体"/>
          <w:kern w:val="2"/>
          <w:sz w:val="32"/>
          <w:szCs w:val="32"/>
          <w:lang w:val="en-US" w:eastAsia="zh-CN" w:bidi="ar-SA"/>
        </w:rPr>
        <w:t>4.71</w:t>
      </w:r>
      <w:r>
        <w:rPr>
          <w:rFonts w:hint="eastAsia" w:ascii="宋体" w:hAnsi="宋体" w:eastAsia="宋体" w:cs="宋体"/>
          <w:kern w:val="2"/>
          <w:sz w:val="32"/>
          <w:szCs w:val="32"/>
          <w:lang w:val="en" w:eastAsia="zh-CN" w:bidi="ar-SA"/>
        </w:rPr>
        <w:t>％，同比增加</w:t>
      </w:r>
      <w:r>
        <w:rPr>
          <w:rFonts w:hint="eastAsia" w:ascii="宋体" w:hAnsi="宋体" w:eastAsia="宋体" w:cs="宋体"/>
          <w:kern w:val="2"/>
          <w:sz w:val="32"/>
          <w:szCs w:val="32"/>
          <w:lang w:val="en-US" w:eastAsia="zh-CN" w:bidi="ar-SA"/>
        </w:rPr>
        <w:t>16675.88</w:t>
      </w:r>
      <w:r>
        <w:rPr>
          <w:rFonts w:hint="eastAsia" w:ascii="宋体" w:hAnsi="宋体" w:eastAsia="宋体" w:cs="宋体"/>
          <w:kern w:val="2"/>
          <w:sz w:val="32"/>
          <w:szCs w:val="32"/>
          <w:lang w:val="en" w:eastAsia="zh-CN" w:bidi="ar-SA"/>
        </w:rPr>
        <w:t>万元，增长</w:t>
      </w:r>
      <w:r>
        <w:rPr>
          <w:rFonts w:hint="eastAsia" w:ascii="宋体" w:hAnsi="宋体" w:eastAsia="宋体" w:cs="宋体"/>
          <w:kern w:val="2"/>
          <w:sz w:val="32"/>
          <w:szCs w:val="32"/>
          <w:lang w:val="en-US" w:eastAsia="zh-CN" w:bidi="ar-SA"/>
        </w:rPr>
        <w:t>15.48</w:t>
      </w:r>
      <w:r>
        <w:rPr>
          <w:rFonts w:hint="eastAsia" w:ascii="宋体" w:hAnsi="宋体" w:eastAsia="宋体" w:cs="宋体"/>
          <w:kern w:val="2"/>
          <w:sz w:val="32"/>
          <w:szCs w:val="32"/>
          <w:lang w:val="en" w:eastAsia="zh-CN" w:bidi="ar-SA"/>
        </w:rPr>
        <w:t>％，支出增加因为学校办学规模增大，教学、办公等运转支出增加；小学教育类科目支出2699.72万元，占本年支出预算2.06％，同比增加</w:t>
      </w:r>
      <w:r>
        <w:rPr>
          <w:rFonts w:hint="eastAsia" w:ascii="宋体" w:hAnsi="宋体" w:eastAsia="宋体" w:cs="宋体"/>
          <w:kern w:val="2"/>
          <w:sz w:val="32"/>
          <w:szCs w:val="32"/>
          <w:lang w:val="en-US" w:eastAsia="zh-CN" w:bidi="ar-SA"/>
        </w:rPr>
        <w:t>759.35</w:t>
      </w:r>
      <w:r>
        <w:rPr>
          <w:rFonts w:hint="eastAsia" w:ascii="宋体" w:hAnsi="宋体" w:eastAsia="宋体" w:cs="宋体"/>
          <w:kern w:val="2"/>
          <w:sz w:val="32"/>
          <w:szCs w:val="32"/>
          <w:lang w:val="en" w:eastAsia="zh-CN" w:bidi="ar-SA"/>
        </w:rPr>
        <w:t>万元，增长</w:t>
      </w:r>
      <w:r>
        <w:rPr>
          <w:rFonts w:hint="eastAsia" w:ascii="宋体" w:hAnsi="宋体" w:eastAsia="宋体" w:cs="宋体"/>
          <w:kern w:val="2"/>
          <w:sz w:val="32"/>
          <w:szCs w:val="32"/>
          <w:lang w:val="en-US" w:eastAsia="zh-CN" w:bidi="ar-SA"/>
        </w:rPr>
        <w:t>39.13</w:t>
      </w:r>
      <w:r>
        <w:rPr>
          <w:rFonts w:hint="eastAsia" w:ascii="宋体" w:hAnsi="宋体" w:eastAsia="宋体" w:cs="宋体"/>
          <w:kern w:val="2"/>
          <w:sz w:val="32"/>
          <w:szCs w:val="32"/>
          <w:lang w:val="en" w:eastAsia="zh-CN" w:bidi="ar-SA"/>
        </w:rPr>
        <w:t>％；机关事业单位基本养老保险缴费类科目支出1267.34万元，占本年支出预算</w:t>
      </w:r>
      <w:r>
        <w:rPr>
          <w:rFonts w:hint="eastAsia" w:ascii="宋体" w:hAnsi="宋体" w:eastAsia="宋体" w:cs="宋体"/>
          <w:kern w:val="2"/>
          <w:sz w:val="32"/>
          <w:szCs w:val="32"/>
          <w:lang w:val="en-US" w:eastAsia="zh-CN" w:bidi="ar-SA"/>
        </w:rPr>
        <w:t>0.99</w:t>
      </w:r>
      <w:r>
        <w:rPr>
          <w:rFonts w:hint="eastAsia" w:ascii="宋体" w:hAnsi="宋体" w:eastAsia="宋体" w:cs="宋体"/>
          <w:kern w:val="2"/>
          <w:sz w:val="32"/>
          <w:szCs w:val="32"/>
          <w:lang w:val="en" w:eastAsia="zh-CN" w:bidi="ar-SA"/>
        </w:rPr>
        <w:t>％，同比减少22.70万元，下降1.72％；机关事业单位职业年金缴费类科目支出650.41万元，占本年支出预算0.50％，同比减少11.351万元，下降1.72％；事业单位医疗类科目支出601.63万元，占本年支出预算0.46％，同比减少10.50万元，下降1.72％；事业单位离退休支出655.57万元，占本年支出预算0.50％；住房公积金类科目支出975.619万元，占本年支出预算0.97％，同比减少17.03万元，下降1.72％；</w:t>
      </w:r>
    </w:p>
    <w:p w14:paraId="4A09EC23">
      <w:pPr>
        <w:spacing w:line="560" w:lineRule="exact"/>
        <w:ind w:firstLine="640" w:firstLineChars="200"/>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 w:eastAsia="zh-CN" w:bidi="ar-SA"/>
        </w:rPr>
        <w:t>②按支出结构分类划分，分为基本支出预算和项目支出预算。</w:t>
      </w:r>
    </w:p>
    <w:p w14:paraId="261FC723">
      <w:pPr>
        <w:spacing w:line="560" w:lineRule="exact"/>
        <w:ind w:firstLine="640" w:firstLineChars="200"/>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基本支出预算49317.71万元，占本年支出预算39.79％，同比增加1301.12万元，增长2.71％。其中：</w:t>
      </w:r>
    </w:p>
    <w:p w14:paraId="3925EBAE">
      <w:pPr>
        <w:spacing w:line="560" w:lineRule="exac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人员经费预算47879.02万元，占基本支出预算97.08％，同比增加3177.883万元，增长7.11％。其中：工资福利支出预算44075.68万元，占基本支出预算89.37％，同比增加2901.71万元，增长7.05％；对个人和家庭的补助预算3803.34万元，占基本支出预算7.71％，同比增加276.17万元，增长7.83％。支出增加因为随着学校办学规模扩大，在校教职工人数增加，教学、科研任务较以往更为丰富，人员经费相应增加。</w:t>
      </w:r>
    </w:p>
    <w:p w14:paraId="30ED912C">
      <w:pPr>
        <w:spacing w:line="560" w:lineRule="exact"/>
        <w:ind w:firstLine="640" w:firstLineChars="200"/>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公用经费（商品和服务支出）预算1438.69万元，占基本支出预算2.92％，同比减少1876.77万元，下降56.61％。其中：其他商品和服务支出科目预算704.96万元，占公用经费预算49.00％，具体用于安排离退休公用支出与单位食堂运转经费。公用经费（商品和服务支出）预算较2024年预算下降原因为根据学校预算执行与资金统筹使用合理性等方面需求，2025年减少基本支出中安排的运转相关经费，主要通过项目支出安排学校运转经费。</w:t>
      </w:r>
    </w:p>
    <w:p w14:paraId="1F90BC98">
      <w:pPr>
        <w:spacing w:line="560" w:lineRule="exact"/>
        <w:ind w:firstLine="640" w:firstLineChars="200"/>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项目支出预算81999.17万元，占本年支出预算62.44％，同比增加16738.10万元，增长25.65％，大幅度增加一是因为</w:t>
      </w:r>
      <w:r>
        <w:rPr>
          <w:rFonts w:hint="eastAsia" w:ascii="宋体" w:hAnsi="宋体" w:eastAsia="宋体" w:cs="宋体"/>
          <w:kern w:val="2"/>
          <w:sz w:val="32"/>
          <w:szCs w:val="32"/>
          <w:lang w:val="en" w:eastAsia="zh-CN" w:bidi="ar-SA"/>
        </w:rPr>
        <w:t>学校办学规模扩大，</w:t>
      </w:r>
      <w:r>
        <w:rPr>
          <w:rFonts w:hint="eastAsia" w:ascii="宋体" w:hAnsi="宋体" w:eastAsia="宋体" w:cs="宋体"/>
          <w:kern w:val="2"/>
          <w:sz w:val="32"/>
          <w:szCs w:val="32"/>
          <w:lang w:val="en-US" w:eastAsia="zh-CN" w:bidi="ar-SA"/>
        </w:rPr>
        <w:t>教学、行政、科研等运转支出增加，如用财政专户资金安排的项目公用项目因安排学校合作办学分成款</w:t>
      </w:r>
      <w:r>
        <w:rPr>
          <w:rFonts w:hint="eastAsia" w:ascii="宋体" w:hAnsi="宋体" w:cs="宋体"/>
          <w:kern w:val="2"/>
          <w:sz w:val="32"/>
          <w:szCs w:val="32"/>
          <w:lang w:val="en-US" w:eastAsia="zh-CN" w:bidi="ar-SA"/>
        </w:rPr>
        <w:t>等</w:t>
      </w:r>
      <w:r>
        <w:rPr>
          <w:rFonts w:hint="eastAsia" w:ascii="宋体" w:hAnsi="宋体" w:eastAsia="宋体" w:cs="宋体"/>
          <w:kern w:val="2"/>
          <w:sz w:val="32"/>
          <w:szCs w:val="32"/>
          <w:lang w:val="en-US" w:eastAsia="zh-CN" w:bidi="ar-SA"/>
        </w:rPr>
        <w:t>，申报数较2024年大幅度增加；二是由于2024年编制年初预算时未将年中不可预计合作办学</w:t>
      </w:r>
      <w:r>
        <w:rPr>
          <w:rFonts w:hint="eastAsia" w:ascii="宋体" w:hAnsi="宋体" w:cs="宋体"/>
          <w:kern w:val="2"/>
          <w:sz w:val="32"/>
          <w:szCs w:val="32"/>
          <w:lang w:val="en-US" w:eastAsia="zh-CN" w:bidi="ar-SA"/>
        </w:rPr>
        <w:t>收入所对应分成支出</w:t>
      </w:r>
      <w:r>
        <w:rPr>
          <w:rFonts w:hint="eastAsia" w:ascii="宋体" w:hAnsi="宋体" w:eastAsia="宋体" w:cs="宋体"/>
          <w:kern w:val="2"/>
          <w:sz w:val="32"/>
          <w:szCs w:val="32"/>
          <w:lang w:val="en-US" w:eastAsia="zh-CN" w:bidi="ar-SA"/>
        </w:rPr>
        <w:t>纳入预算，导致2024年同比数字偏小。</w:t>
      </w:r>
    </w:p>
    <w:p w14:paraId="6B0A8D74">
      <w:pPr>
        <w:spacing w:line="560" w:lineRule="exact"/>
        <w:ind w:firstLine="640" w:firstLineChars="200"/>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（2）结转下年支出预算0万元，同比不变。</w:t>
      </w:r>
    </w:p>
    <w:p w14:paraId="5EDABDD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四、政府性基金预算支出情况说明</w:t>
      </w:r>
    </w:p>
    <w:p w14:paraId="59AA043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1、收入预算情况</w:t>
      </w:r>
    </w:p>
    <w:p w14:paraId="46AECB1B">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政府性基金预算收入的总规模、各项预算收入及增减变化情况。</w:t>
      </w:r>
    </w:p>
    <w:p w14:paraId="29BCF3E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2025年政府性基金预算收入48万元，同比增加10万元，增长26.32%。其中：中央补助48万元，自治区本级0万元，专项债券收入0万元，增加原因为2025年新增中央集中彩票公益金支持体育事业资金财政专项，该项目经费收入为10万元，资金性质为政府性基金。</w:t>
      </w:r>
    </w:p>
    <w:p w14:paraId="00F2140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按收入科目划分，共分为1项，其中：</w:t>
      </w:r>
    </w:p>
    <w:p w14:paraId="61FEE5F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彩票公益金安排的支出科目收入48万元，同比增加10万元，增长26.32%，增加原因为2025年新增中央集中彩票公益金支持体育事业资金财政专项，该项目经费收入为10万元，资金性质为政府性基金。</w:t>
      </w:r>
    </w:p>
    <w:p w14:paraId="6F78F4C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2、支出预算情况</w:t>
      </w:r>
    </w:p>
    <w:p w14:paraId="6DEDD2A1">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2025年政府性基金预算支出48万元，同比增加10万元，增长26.32%。</w:t>
      </w:r>
    </w:p>
    <w:p w14:paraId="21C0AFF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①按支出功能分类科目划分，共分为1项，其中：</w:t>
      </w:r>
    </w:p>
    <w:p w14:paraId="5EAC83B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彩票公益金安排的支出支出48万元，占政府性基金总支出预算100%，同比增加10万元，增长26.32%。</w:t>
      </w:r>
    </w:p>
    <w:p w14:paraId="44633E4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②按支出结构分类划分，分为基本支出预算和项目支出预算。其中：</w:t>
      </w:r>
    </w:p>
    <w:p w14:paraId="14D5992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基本支出预算。</w:t>
      </w:r>
    </w:p>
    <w:p w14:paraId="7DCA742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基本支出预算0万元，占本年支出预算0％，同比增加0万元，增长0％。其中：</w:t>
      </w:r>
    </w:p>
    <w:p w14:paraId="05A79027">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人员经费预算0万元，占基本支出预算0％，同比增加0万元，增长0％。其中：工资福利支出预算0万元，占基本支出预算0％，同比增加0万元，增长0％；对个人和家庭的补助预算0万元，占基本支出预算0％，同比增加0万元，增长0％。</w:t>
      </w:r>
    </w:p>
    <w:p w14:paraId="38D39A6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公用经费（商品和服务支出）预算0万元，占基本支出预算0％，同比增加0万元，增长0％。</w:t>
      </w:r>
    </w:p>
    <w:p w14:paraId="2F5863EB">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项目支出预算。</w:t>
      </w:r>
    </w:p>
    <w:p w14:paraId="7650681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项目支出预算48万元，占政府性基金总支出预算100%，同比增加10万元，增长26.32%，增加原因为2025年新增中央集中彩票公益金支持体育事业资金财政专项，该项目经费支出为10万元。</w:t>
      </w:r>
    </w:p>
    <w:p w14:paraId="45766B3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五、国有资本经营预算支出情况说明</w:t>
      </w:r>
    </w:p>
    <w:p w14:paraId="0407876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宋体" w:hAnsi="宋体" w:eastAsia="宋体" w:cs="宋体"/>
          <w:kern w:val="2"/>
          <w:sz w:val="32"/>
          <w:szCs w:val="32"/>
          <w:lang w:val="en-US" w:eastAsia="zh-CN" w:bidi="ar-SA"/>
        </w:rPr>
      </w:pPr>
      <w:r>
        <w:rPr>
          <w:rFonts w:hint="eastAsia" w:hAnsi="宋体" w:cs="宋体"/>
          <w:kern w:val="2"/>
          <w:sz w:val="32"/>
          <w:szCs w:val="32"/>
          <w:lang w:val="en-US" w:eastAsia="zh-CN" w:bidi="ar-SA"/>
        </w:rPr>
        <w:t>2025</w:t>
      </w:r>
      <w:r>
        <w:rPr>
          <w:rFonts w:hint="eastAsia" w:ascii="宋体" w:hAnsi="宋体" w:eastAsia="宋体" w:cs="宋体"/>
          <w:kern w:val="2"/>
          <w:sz w:val="32"/>
          <w:szCs w:val="32"/>
          <w:lang w:val="en-US" w:eastAsia="zh-CN" w:bidi="ar-SA"/>
        </w:rPr>
        <w:t>年我校无国有资本经营预算收支</w:t>
      </w:r>
      <w:r>
        <w:rPr>
          <w:rFonts w:hint="eastAsia" w:hAnsi="宋体" w:cs="宋体"/>
          <w:kern w:val="2"/>
          <w:sz w:val="32"/>
          <w:szCs w:val="32"/>
          <w:lang w:val="en-US" w:eastAsia="zh-CN" w:bidi="ar-SA"/>
        </w:rPr>
        <w:t>。</w:t>
      </w:r>
    </w:p>
    <w:p w14:paraId="285D04A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六、一般公共预算“三公”经费支出情况说明</w:t>
      </w:r>
    </w:p>
    <w:p w14:paraId="4F2DDFCB">
      <w:pPr>
        <w:pStyle w:val="2"/>
        <w:adjustRightInd w:val="0"/>
        <w:snapToGrid w:val="0"/>
        <w:spacing w:line="560" w:lineRule="exact"/>
        <w:ind w:firstLine="640" w:firstLineChars="200"/>
        <w:rPr>
          <w:rFonts w:hAnsi="宋体"/>
          <w:sz w:val="32"/>
          <w:szCs w:val="32"/>
        </w:rPr>
      </w:pPr>
      <w:r>
        <w:rPr>
          <w:rFonts w:hint="eastAsia" w:hAnsi="宋体"/>
          <w:sz w:val="32"/>
          <w:szCs w:val="32"/>
        </w:rPr>
        <w:t>1.2025年一般公共预算“三公”经费、会议费和培训费（不含中央补助）合计0万元，同比增加0万元，增长0％。</w:t>
      </w:r>
    </w:p>
    <w:p w14:paraId="0291B484">
      <w:pPr>
        <w:pStyle w:val="2"/>
        <w:adjustRightInd w:val="0"/>
        <w:snapToGrid w:val="0"/>
        <w:spacing w:line="560" w:lineRule="exact"/>
        <w:ind w:firstLine="640" w:firstLineChars="200"/>
        <w:rPr>
          <w:rFonts w:hAnsi="宋体"/>
          <w:sz w:val="32"/>
          <w:szCs w:val="32"/>
        </w:rPr>
      </w:pPr>
      <w:r>
        <w:rPr>
          <w:rFonts w:hint="eastAsia" w:hAnsi="宋体"/>
          <w:sz w:val="32"/>
          <w:szCs w:val="32"/>
        </w:rPr>
        <w:t>2.2025年政府性基金预算“三公”经费、会议费和培训费（不含中央补助）合计0万元，同比增加0万元，增长0％。</w:t>
      </w:r>
    </w:p>
    <w:p w14:paraId="333CB98B">
      <w:pPr>
        <w:pStyle w:val="2"/>
        <w:adjustRightInd w:val="0"/>
        <w:snapToGrid w:val="0"/>
        <w:spacing w:line="560" w:lineRule="exact"/>
        <w:ind w:firstLine="640" w:firstLineChars="200"/>
        <w:rPr>
          <w:rFonts w:hAnsi="宋体"/>
          <w:sz w:val="32"/>
          <w:szCs w:val="32"/>
        </w:rPr>
      </w:pPr>
      <w:r>
        <w:rPr>
          <w:rFonts w:hint="eastAsia" w:hAnsi="宋体"/>
          <w:sz w:val="32"/>
          <w:szCs w:val="32"/>
        </w:rPr>
        <w:t>3.2025年非财政拨款“三公”经费220万元，同比增加35万元，增长18.92％。其中：</w:t>
      </w:r>
    </w:p>
    <w:p w14:paraId="47F2C37F">
      <w:pPr>
        <w:pStyle w:val="2"/>
        <w:adjustRightInd w:val="0"/>
        <w:snapToGrid w:val="0"/>
        <w:spacing w:line="560" w:lineRule="exact"/>
        <w:ind w:firstLine="640" w:firstLineChars="200"/>
        <w:rPr>
          <w:rFonts w:hAnsi="宋体"/>
          <w:sz w:val="32"/>
          <w:szCs w:val="32"/>
        </w:rPr>
      </w:pPr>
      <w:r>
        <w:rPr>
          <w:rFonts w:hint="eastAsia" w:hAnsi="宋体"/>
          <w:sz w:val="32"/>
          <w:szCs w:val="32"/>
        </w:rPr>
        <w:t>（1）因公出国（境）费60.00万元，同比增加0万元，增长0％。</w:t>
      </w:r>
    </w:p>
    <w:p w14:paraId="5639A233">
      <w:pPr>
        <w:pStyle w:val="2"/>
        <w:adjustRightInd w:val="0"/>
        <w:snapToGrid w:val="0"/>
        <w:spacing w:line="560" w:lineRule="exact"/>
        <w:ind w:firstLine="640" w:firstLineChars="200"/>
        <w:rPr>
          <w:rFonts w:hAnsi="宋体"/>
          <w:sz w:val="32"/>
          <w:szCs w:val="32"/>
        </w:rPr>
      </w:pPr>
      <w:r>
        <w:rPr>
          <w:rFonts w:hint="eastAsia" w:hAnsi="宋体"/>
          <w:sz w:val="32"/>
          <w:szCs w:val="32"/>
        </w:rPr>
        <w:t>（2）公务用车购置及运行维护费90.00万元，同比增加35.00万元，增长63.64％。其中：公务用车购置费35.00万元，同比增加35.00万元，增长100％，根据《广西壮族自治区机关事务管理局关于做好2021年度公务用车配备更新计划编报工作的函》桂事管函〔2020〕175号文件精神，目前我校公务车中，已有1辆（桂AB5092）车辆达到报废条件，上报机关管理事务局已获批报废，特申请购置1辆7座商务车予以补充，满座日常教学、行政办公需求，按公务车采购标准购置车辆费用25.00万元以内，另还包含车辆购置后办理相关手续费用约10万（购置税、车辆办理牌照费、车辆保险费等），费用总计约35.00万元。公务用车运行维护费55.00万元，同比增加0万元，增长0％。</w:t>
      </w:r>
    </w:p>
    <w:p w14:paraId="25803A5D">
      <w:pPr>
        <w:pStyle w:val="3"/>
        <w:spacing w:line="560" w:lineRule="exact"/>
        <w:ind w:firstLine="640" w:firstLineChars="200"/>
        <w:rPr>
          <w:rFonts w:hint="eastAsia" w:ascii="仿宋_GB2312" w:hAnsi="仿宋_GB2312" w:eastAsia="仿宋_GB2312" w:cs="仿宋_GB2312"/>
          <w:sz w:val="32"/>
          <w:szCs w:val="32"/>
        </w:rPr>
      </w:pPr>
      <w:r>
        <w:rPr>
          <w:rFonts w:hint="eastAsia" w:hAnsi="宋体"/>
          <w:sz w:val="32"/>
          <w:szCs w:val="32"/>
        </w:rPr>
        <w:t>（3）公务接待费70.00万元，同比增加0万元，增长0％。</w:t>
      </w:r>
    </w:p>
    <w:p w14:paraId="2EEF900C">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七、机关运行经费安排情况说明</w:t>
      </w:r>
    </w:p>
    <w:p w14:paraId="5C70145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hAnsi="宋体"/>
          <w:sz w:val="32"/>
          <w:szCs w:val="32"/>
          <w:highlight w:val="none"/>
          <w:lang w:val="en-US" w:eastAsia="zh-CN"/>
        </w:rPr>
      </w:pPr>
      <w:r>
        <w:rPr>
          <w:rFonts w:hint="eastAsia" w:ascii="Calibri" w:hAnsi="宋体" w:eastAsia="宋体" w:cs="Times New Roman"/>
          <w:kern w:val="2"/>
          <w:sz w:val="32"/>
          <w:szCs w:val="32"/>
          <w:highlight w:val="none"/>
          <w:lang w:val="en-US" w:eastAsia="zh-CN" w:bidi="ar-SA"/>
        </w:rPr>
        <w:t>202</w:t>
      </w:r>
      <w:r>
        <w:rPr>
          <w:rFonts w:hint="eastAsia" w:ascii="Calibri" w:hAnsi="宋体" w:cs="Times New Roman"/>
          <w:kern w:val="2"/>
          <w:sz w:val="32"/>
          <w:szCs w:val="32"/>
          <w:highlight w:val="none"/>
          <w:lang w:val="en-US" w:eastAsia="zh-CN" w:bidi="ar-SA"/>
        </w:rPr>
        <w:t>5</w:t>
      </w:r>
      <w:r>
        <w:rPr>
          <w:rFonts w:hint="eastAsia" w:ascii="Calibri" w:hAnsi="宋体" w:eastAsia="宋体" w:cs="Times New Roman"/>
          <w:kern w:val="2"/>
          <w:sz w:val="32"/>
          <w:szCs w:val="32"/>
          <w:highlight w:val="none"/>
          <w:lang w:val="en-US" w:eastAsia="zh-CN" w:bidi="ar-SA"/>
        </w:rPr>
        <w:t>年</w:t>
      </w:r>
      <w:r>
        <w:rPr>
          <w:rFonts w:hint="eastAsia" w:hAnsi="宋体"/>
          <w:sz w:val="32"/>
          <w:szCs w:val="32"/>
          <w:highlight w:val="none"/>
        </w:rPr>
        <w:t>我校事业单位运行经费为</w:t>
      </w:r>
      <w:r>
        <w:rPr>
          <w:rFonts w:hint="eastAsia" w:hAnsi="宋体"/>
          <w:sz w:val="32"/>
          <w:szCs w:val="32"/>
          <w:highlight w:val="none"/>
          <w:lang w:val="en-US" w:eastAsia="zh-CN"/>
        </w:rPr>
        <w:t>29766.84</w:t>
      </w:r>
      <w:r>
        <w:rPr>
          <w:rFonts w:hint="eastAsia" w:hAnsi="宋体"/>
          <w:sz w:val="32"/>
          <w:szCs w:val="32"/>
          <w:highlight w:val="none"/>
        </w:rPr>
        <w:t>万元，同比增加</w:t>
      </w:r>
      <w:r>
        <w:rPr>
          <w:rFonts w:hint="eastAsia" w:hAnsi="宋体"/>
          <w:sz w:val="32"/>
          <w:szCs w:val="32"/>
          <w:highlight w:val="none"/>
          <w:lang w:val="en-US" w:eastAsia="zh-CN"/>
        </w:rPr>
        <w:t>9278.23</w:t>
      </w:r>
      <w:r>
        <w:rPr>
          <w:rFonts w:hint="eastAsia" w:hAnsi="宋体"/>
          <w:sz w:val="32"/>
          <w:szCs w:val="32"/>
          <w:highlight w:val="none"/>
        </w:rPr>
        <w:t>万元，增长</w:t>
      </w:r>
      <w:r>
        <w:rPr>
          <w:rFonts w:hint="eastAsia" w:hAnsi="宋体"/>
          <w:sz w:val="32"/>
          <w:szCs w:val="32"/>
          <w:highlight w:val="none"/>
          <w:lang w:val="en-US" w:eastAsia="zh-CN"/>
        </w:rPr>
        <w:t>45.28</w:t>
      </w:r>
      <w:r>
        <w:rPr>
          <w:rFonts w:hint="eastAsia" w:hAnsi="宋体"/>
          <w:sz w:val="32"/>
          <w:szCs w:val="32"/>
          <w:highlight w:val="none"/>
        </w:rPr>
        <w:t>%，其中办公费</w:t>
      </w:r>
      <w:r>
        <w:rPr>
          <w:rFonts w:hint="eastAsia" w:hAnsi="宋体"/>
          <w:sz w:val="32"/>
          <w:szCs w:val="32"/>
          <w:highlight w:val="none"/>
          <w:lang w:val="en-US" w:eastAsia="zh-CN"/>
        </w:rPr>
        <w:t>2423.91</w:t>
      </w:r>
      <w:r>
        <w:rPr>
          <w:rFonts w:hint="eastAsia" w:hAnsi="宋体"/>
          <w:sz w:val="32"/>
          <w:szCs w:val="32"/>
          <w:highlight w:val="none"/>
        </w:rPr>
        <w:t>万元，</w:t>
      </w:r>
      <w:r>
        <w:rPr>
          <w:rFonts w:hint="eastAsia" w:hAnsi="宋体"/>
          <w:sz w:val="32"/>
          <w:szCs w:val="32"/>
          <w:highlight w:val="none"/>
          <w:lang w:val="en-US" w:eastAsia="zh-CN"/>
        </w:rPr>
        <w:t>办公设备购置费300万元，</w:t>
      </w:r>
      <w:r>
        <w:rPr>
          <w:rFonts w:hint="eastAsia" w:hAnsi="宋体"/>
          <w:sz w:val="32"/>
          <w:szCs w:val="32"/>
          <w:highlight w:val="none"/>
        </w:rPr>
        <w:t>印刷费</w:t>
      </w:r>
      <w:r>
        <w:rPr>
          <w:rFonts w:hint="eastAsia" w:hAnsi="宋体"/>
          <w:sz w:val="32"/>
          <w:szCs w:val="32"/>
          <w:highlight w:val="none"/>
          <w:lang w:val="en-US" w:eastAsia="zh-CN"/>
        </w:rPr>
        <w:t>200</w:t>
      </w:r>
      <w:r>
        <w:rPr>
          <w:rFonts w:hint="eastAsia" w:hAnsi="宋体"/>
          <w:sz w:val="32"/>
          <w:szCs w:val="32"/>
          <w:highlight w:val="none"/>
        </w:rPr>
        <w:t>万元，水</w:t>
      </w:r>
      <w:r>
        <w:rPr>
          <w:rFonts w:hint="eastAsia" w:hAnsi="宋体"/>
          <w:sz w:val="32"/>
          <w:szCs w:val="32"/>
          <w:highlight w:val="none"/>
          <w:lang w:val="en-US" w:eastAsia="zh-CN"/>
        </w:rPr>
        <w:t>电费2100万元</w:t>
      </w:r>
      <w:r>
        <w:rPr>
          <w:rFonts w:hint="eastAsia" w:hAnsi="宋体"/>
          <w:sz w:val="32"/>
          <w:szCs w:val="32"/>
          <w:highlight w:val="none"/>
        </w:rPr>
        <w:t>，邮电费</w:t>
      </w:r>
      <w:r>
        <w:rPr>
          <w:rFonts w:hint="eastAsia" w:hAnsi="宋体"/>
          <w:sz w:val="32"/>
          <w:szCs w:val="32"/>
          <w:highlight w:val="none"/>
          <w:lang w:val="en-US" w:eastAsia="zh-CN"/>
        </w:rPr>
        <w:t>400</w:t>
      </w:r>
      <w:r>
        <w:rPr>
          <w:rFonts w:hint="eastAsia" w:hAnsi="宋体"/>
          <w:sz w:val="32"/>
          <w:szCs w:val="32"/>
          <w:highlight w:val="none"/>
        </w:rPr>
        <w:t>万元，差旅费</w:t>
      </w:r>
      <w:r>
        <w:rPr>
          <w:rFonts w:hint="eastAsia" w:hAnsi="宋体"/>
          <w:sz w:val="32"/>
          <w:szCs w:val="32"/>
          <w:highlight w:val="none"/>
          <w:lang w:val="en-US" w:eastAsia="zh-CN"/>
        </w:rPr>
        <w:t>1011.9</w:t>
      </w:r>
      <w:r>
        <w:rPr>
          <w:rFonts w:hint="eastAsia" w:hAnsi="宋体"/>
          <w:sz w:val="32"/>
          <w:szCs w:val="32"/>
          <w:highlight w:val="none"/>
        </w:rPr>
        <w:t>万元，维修（护）费</w:t>
      </w:r>
      <w:r>
        <w:rPr>
          <w:rFonts w:hint="eastAsia" w:hAnsi="宋体"/>
          <w:sz w:val="32"/>
          <w:szCs w:val="32"/>
          <w:highlight w:val="none"/>
          <w:lang w:val="en-US" w:eastAsia="zh-CN"/>
        </w:rPr>
        <w:t>1750</w:t>
      </w:r>
      <w:r>
        <w:rPr>
          <w:rFonts w:hint="eastAsia" w:hAnsi="宋体"/>
          <w:sz w:val="32"/>
          <w:szCs w:val="32"/>
          <w:highlight w:val="none"/>
        </w:rPr>
        <w:t>万元，培训费</w:t>
      </w:r>
      <w:r>
        <w:rPr>
          <w:rFonts w:hint="eastAsia" w:hAnsi="宋体"/>
          <w:sz w:val="32"/>
          <w:szCs w:val="32"/>
          <w:highlight w:val="none"/>
          <w:lang w:val="en-US" w:eastAsia="zh-CN"/>
        </w:rPr>
        <w:t>98</w:t>
      </w:r>
      <w:r>
        <w:rPr>
          <w:rFonts w:hint="eastAsia" w:hAnsi="宋体"/>
          <w:sz w:val="32"/>
          <w:szCs w:val="32"/>
          <w:highlight w:val="none"/>
        </w:rPr>
        <w:t>万元，公务接待费70万元，</w:t>
      </w:r>
      <w:r>
        <w:rPr>
          <w:rFonts w:hint="eastAsia" w:hAnsi="宋体"/>
          <w:sz w:val="32"/>
          <w:szCs w:val="32"/>
          <w:highlight w:val="none"/>
          <w:lang w:val="en-US" w:eastAsia="zh-CN"/>
        </w:rPr>
        <w:t>物业管理费3081.18万元，</w:t>
      </w:r>
      <w:r>
        <w:rPr>
          <w:rFonts w:hint="eastAsia" w:hAnsi="宋体"/>
          <w:sz w:val="32"/>
          <w:szCs w:val="32"/>
          <w:highlight w:val="none"/>
        </w:rPr>
        <w:t>专用材料费</w:t>
      </w:r>
      <w:r>
        <w:rPr>
          <w:rFonts w:hint="eastAsia" w:hAnsi="宋体"/>
          <w:sz w:val="32"/>
          <w:szCs w:val="32"/>
          <w:highlight w:val="none"/>
          <w:lang w:val="en-US" w:eastAsia="zh-CN"/>
        </w:rPr>
        <w:t>50</w:t>
      </w:r>
      <w:r>
        <w:rPr>
          <w:rFonts w:hint="eastAsia" w:hAnsi="宋体"/>
          <w:sz w:val="32"/>
          <w:szCs w:val="32"/>
          <w:highlight w:val="none"/>
        </w:rPr>
        <w:t>万元，劳务费</w:t>
      </w:r>
      <w:r>
        <w:rPr>
          <w:rFonts w:hint="eastAsia" w:hAnsi="宋体"/>
          <w:sz w:val="32"/>
          <w:szCs w:val="32"/>
          <w:highlight w:val="none"/>
          <w:lang w:val="en-US" w:eastAsia="zh-CN"/>
        </w:rPr>
        <w:t>1980</w:t>
      </w:r>
      <w:r>
        <w:rPr>
          <w:rFonts w:hint="eastAsia" w:hAnsi="宋体"/>
          <w:sz w:val="32"/>
          <w:szCs w:val="32"/>
          <w:highlight w:val="none"/>
        </w:rPr>
        <w:t>万元，专用设备购置</w:t>
      </w:r>
      <w:r>
        <w:rPr>
          <w:rFonts w:hint="eastAsia" w:hAnsi="宋体"/>
          <w:sz w:val="32"/>
          <w:szCs w:val="32"/>
          <w:highlight w:val="none"/>
          <w:lang w:val="en-US" w:eastAsia="zh-CN"/>
        </w:rPr>
        <w:t>800万元，</w:t>
      </w:r>
      <w:r>
        <w:rPr>
          <w:rFonts w:hint="eastAsia" w:hAnsi="宋体"/>
          <w:sz w:val="32"/>
          <w:szCs w:val="32"/>
          <w:highlight w:val="none"/>
        </w:rPr>
        <w:t>工会经费</w:t>
      </w:r>
      <w:r>
        <w:rPr>
          <w:rFonts w:hint="eastAsia" w:hAnsi="宋体"/>
          <w:sz w:val="32"/>
          <w:szCs w:val="32"/>
          <w:highlight w:val="none"/>
          <w:lang w:val="en-US" w:eastAsia="zh-CN"/>
        </w:rPr>
        <w:t>495.92</w:t>
      </w:r>
      <w:r>
        <w:rPr>
          <w:rFonts w:hint="eastAsia" w:hAnsi="宋体"/>
          <w:sz w:val="32"/>
          <w:szCs w:val="32"/>
          <w:highlight w:val="none"/>
        </w:rPr>
        <w:t>万元，公务用车运行维护费55万元，其他交通费用</w:t>
      </w:r>
      <w:r>
        <w:rPr>
          <w:rFonts w:hint="eastAsia" w:hAnsi="宋体"/>
          <w:sz w:val="32"/>
          <w:szCs w:val="32"/>
          <w:highlight w:val="none"/>
          <w:lang w:val="en-US" w:eastAsia="zh-CN"/>
        </w:rPr>
        <w:t>301.59</w:t>
      </w:r>
      <w:r>
        <w:rPr>
          <w:rFonts w:hint="eastAsia" w:hAnsi="宋体"/>
          <w:sz w:val="32"/>
          <w:szCs w:val="32"/>
          <w:highlight w:val="none"/>
        </w:rPr>
        <w:t>万元，其他商品和服务支出</w:t>
      </w:r>
      <w:r>
        <w:rPr>
          <w:rFonts w:hint="eastAsia" w:hAnsi="宋体"/>
          <w:sz w:val="32"/>
          <w:szCs w:val="32"/>
          <w:highlight w:val="none"/>
          <w:lang w:val="en-US" w:eastAsia="zh-CN"/>
        </w:rPr>
        <w:t>13935.93</w:t>
      </w:r>
      <w:r>
        <w:rPr>
          <w:rFonts w:hint="eastAsia" w:hAnsi="宋体"/>
          <w:sz w:val="32"/>
          <w:szCs w:val="32"/>
          <w:highlight w:val="none"/>
        </w:rPr>
        <w:t>万元</w:t>
      </w:r>
      <w:r>
        <w:rPr>
          <w:rFonts w:hint="eastAsia" w:hAnsi="宋体"/>
          <w:sz w:val="32"/>
          <w:szCs w:val="32"/>
          <w:highlight w:val="none"/>
          <w:lang w:eastAsia="zh-CN"/>
        </w:rPr>
        <w:t>，</w:t>
      </w:r>
      <w:r>
        <w:rPr>
          <w:rFonts w:hint="eastAsia" w:hAnsi="宋体"/>
          <w:sz w:val="32"/>
          <w:szCs w:val="32"/>
          <w:highlight w:val="none"/>
          <w:lang w:val="en-US" w:eastAsia="zh-CN"/>
        </w:rPr>
        <w:t>福利费15万元</w:t>
      </w:r>
      <w:r>
        <w:rPr>
          <w:rFonts w:hint="eastAsia" w:hAnsi="宋体"/>
          <w:sz w:val="32"/>
          <w:szCs w:val="32"/>
          <w:highlight w:val="none"/>
        </w:rPr>
        <w:t>，</w:t>
      </w:r>
      <w:r>
        <w:rPr>
          <w:rFonts w:hint="eastAsia" w:hAnsi="宋体"/>
          <w:sz w:val="32"/>
          <w:szCs w:val="32"/>
          <w:highlight w:val="none"/>
          <w:lang w:val="en-US" w:eastAsia="zh-CN"/>
        </w:rPr>
        <w:t>其他支出500万元（费用化利息），其他资本性支出200万元。</w:t>
      </w:r>
      <w:r>
        <w:rPr>
          <w:rFonts w:hint="eastAsia" w:hAnsi="宋体"/>
          <w:sz w:val="32"/>
          <w:szCs w:val="32"/>
          <w:highlight w:val="none"/>
        </w:rPr>
        <w:t>增加</w:t>
      </w:r>
      <w:r>
        <w:rPr>
          <w:rFonts w:hint="eastAsia" w:hAnsi="宋体"/>
          <w:sz w:val="32"/>
          <w:szCs w:val="32"/>
          <w:highlight w:val="none"/>
          <w:lang w:val="en-US" w:eastAsia="zh-CN"/>
        </w:rPr>
        <w:t>一是因为学校2024年与2025年（将）实现扩招，预计2025年在校生人数较2024年增加，学校安排更多基础维修建设支出，确保学校办学条件满足在校生日常学习、生活需求，如维修（护）费同比增加1150万元；二是因为随着学校办学规模扩大与业务工作更为丰富，学校投入更多经费支持教学与科研条件完善、教改与科研课题工作开展等与教育质量提升、教育改革深化息息相关的业务工作，如专用设备购置同比增加800万元；三是因为学校预计在可实现合作办学收入方面较2024年同期预计有显著增加，对应合作办学分成款、合作办学成本也随之上升，如其他商品和服务支出同比增加5600.82万元。</w:t>
      </w:r>
    </w:p>
    <w:p w14:paraId="13D34C1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八、政府采购预算安排情况说明</w:t>
      </w:r>
    </w:p>
    <w:p w14:paraId="57185BB9">
      <w:pPr>
        <w:spacing w:line="560" w:lineRule="exact"/>
        <w:ind w:firstLine="640" w:firstLineChars="200"/>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2025年政府采购预算</w:t>
      </w:r>
      <w:r>
        <w:rPr>
          <w:rFonts w:hint="eastAsia" w:ascii="宋体" w:hAnsi="宋体" w:eastAsia="宋体" w:cs="Times New Roman"/>
          <w:kern w:val="2"/>
          <w:sz w:val="32"/>
          <w:szCs w:val="32"/>
          <w:highlight w:val="none"/>
          <w:lang w:val="en-US" w:eastAsia="zh-CN" w:bidi="ar-SA"/>
        </w:rPr>
        <w:t>8062.48</w:t>
      </w:r>
      <w:r>
        <w:rPr>
          <w:rFonts w:hint="eastAsia" w:ascii="宋体" w:hAnsi="宋体" w:eastAsia="宋体" w:cs="Times New Roman"/>
          <w:kern w:val="2"/>
          <w:sz w:val="32"/>
          <w:szCs w:val="32"/>
          <w:highlight w:val="none"/>
          <w:lang w:val="en" w:eastAsia="zh-CN" w:bidi="ar-SA"/>
        </w:rPr>
        <w:t>万元，同比</w:t>
      </w:r>
      <w:r>
        <w:rPr>
          <w:rFonts w:hint="eastAsia" w:ascii="宋体" w:hAnsi="宋体" w:eastAsia="宋体" w:cs="Times New Roman"/>
          <w:kern w:val="2"/>
          <w:sz w:val="32"/>
          <w:szCs w:val="32"/>
          <w:highlight w:val="none"/>
          <w:lang w:val="en-US" w:eastAsia="zh-CN" w:bidi="ar-SA"/>
        </w:rPr>
        <w:t>增加2150.28</w:t>
      </w:r>
      <w:r>
        <w:rPr>
          <w:rFonts w:hint="eastAsia" w:ascii="宋体" w:hAnsi="宋体" w:eastAsia="宋体" w:cs="Times New Roman"/>
          <w:kern w:val="2"/>
          <w:sz w:val="32"/>
          <w:szCs w:val="32"/>
          <w:highlight w:val="none"/>
          <w:lang w:val="en" w:eastAsia="zh-CN" w:bidi="ar-SA"/>
        </w:rPr>
        <w:t>万元，</w:t>
      </w:r>
      <w:r>
        <w:rPr>
          <w:rFonts w:hint="eastAsia" w:ascii="宋体" w:hAnsi="宋体" w:eastAsia="宋体" w:cs="Times New Roman"/>
          <w:kern w:val="2"/>
          <w:sz w:val="32"/>
          <w:szCs w:val="32"/>
          <w:highlight w:val="none"/>
          <w:lang w:val="en-US" w:eastAsia="zh-CN" w:bidi="ar-SA"/>
        </w:rPr>
        <w:t>增长36.37</w:t>
      </w:r>
      <w:r>
        <w:rPr>
          <w:rFonts w:hint="eastAsia" w:ascii="宋体" w:hAnsi="宋体" w:eastAsia="宋体" w:cs="Times New Roman"/>
          <w:kern w:val="2"/>
          <w:sz w:val="32"/>
          <w:szCs w:val="32"/>
          <w:highlight w:val="none"/>
          <w:lang w:val="en" w:eastAsia="zh-CN" w:bidi="ar-SA"/>
        </w:rPr>
        <w:t>％，增加主要原因一是2025年较多专项绩效目标与实验室建设、教学科研设备完善相关，</w:t>
      </w:r>
      <w:r>
        <w:rPr>
          <w:rFonts w:hint="eastAsia" w:ascii="宋体" w:hAnsi="宋体" w:cs="Times New Roman"/>
          <w:kern w:val="2"/>
          <w:sz w:val="32"/>
          <w:szCs w:val="32"/>
          <w:highlight w:val="none"/>
          <w:lang w:val="en-US" w:eastAsia="zh-CN" w:bidi="ar-SA"/>
        </w:rPr>
        <w:t>需</w:t>
      </w:r>
      <w:r>
        <w:rPr>
          <w:rFonts w:hint="eastAsia" w:ascii="宋体" w:hAnsi="宋体" w:eastAsia="宋体" w:cs="Times New Roman"/>
          <w:kern w:val="2"/>
          <w:sz w:val="32"/>
          <w:szCs w:val="32"/>
          <w:highlight w:val="none"/>
          <w:lang w:val="en" w:eastAsia="zh-CN" w:bidi="ar-SA"/>
        </w:rPr>
        <w:t>安排较多政府采购；二是附属学校2025年义务教育薄弱环节改善与能力提升补助专项经费大幅度提升，该项目全部安排政府采购。政府集中采购预算</w:t>
      </w:r>
      <w:r>
        <w:rPr>
          <w:rFonts w:hint="eastAsia" w:ascii="宋体" w:hAnsi="宋体" w:eastAsia="宋体" w:cs="Times New Roman"/>
          <w:kern w:val="2"/>
          <w:sz w:val="32"/>
          <w:szCs w:val="32"/>
          <w:highlight w:val="none"/>
          <w:lang w:val="en-US" w:eastAsia="zh-CN" w:bidi="ar-SA"/>
        </w:rPr>
        <w:t>3855.98</w:t>
      </w:r>
      <w:r>
        <w:rPr>
          <w:rFonts w:hint="eastAsia" w:ascii="宋体" w:hAnsi="宋体" w:eastAsia="宋体" w:cs="Times New Roman"/>
          <w:kern w:val="2"/>
          <w:sz w:val="32"/>
          <w:szCs w:val="32"/>
          <w:highlight w:val="none"/>
          <w:lang w:val="en" w:eastAsia="zh-CN" w:bidi="ar-SA"/>
        </w:rPr>
        <w:t>万元，占政府采购预算</w:t>
      </w:r>
      <w:r>
        <w:rPr>
          <w:rFonts w:hint="eastAsia" w:ascii="宋体" w:hAnsi="宋体" w:eastAsia="宋体" w:cs="Times New Roman"/>
          <w:kern w:val="2"/>
          <w:sz w:val="32"/>
          <w:szCs w:val="32"/>
          <w:highlight w:val="none"/>
          <w:lang w:val="en-US" w:eastAsia="zh-CN" w:bidi="ar-SA"/>
        </w:rPr>
        <w:t>47.83</w:t>
      </w:r>
      <w:r>
        <w:rPr>
          <w:rFonts w:hint="eastAsia" w:ascii="宋体" w:hAnsi="宋体" w:eastAsia="宋体" w:cs="Times New Roman"/>
          <w:kern w:val="2"/>
          <w:sz w:val="32"/>
          <w:szCs w:val="32"/>
          <w:highlight w:val="none"/>
          <w:lang w:val="en" w:eastAsia="zh-CN" w:bidi="ar-SA"/>
        </w:rPr>
        <w:t>％，同比增加</w:t>
      </w:r>
      <w:r>
        <w:rPr>
          <w:rFonts w:hint="eastAsia" w:ascii="宋体" w:hAnsi="宋体" w:eastAsia="宋体" w:cs="Times New Roman"/>
          <w:kern w:val="2"/>
          <w:sz w:val="32"/>
          <w:szCs w:val="32"/>
          <w:highlight w:val="none"/>
          <w:lang w:val="en-US" w:eastAsia="zh-CN" w:bidi="ar-SA"/>
        </w:rPr>
        <w:t>621.78</w:t>
      </w:r>
      <w:r>
        <w:rPr>
          <w:rFonts w:hint="eastAsia" w:ascii="宋体" w:hAnsi="宋体" w:eastAsia="宋体" w:cs="Times New Roman"/>
          <w:kern w:val="2"/>
          <w:sz w:val="32"/>
          <w:szCs w:val="32"/>
          <w:highlight w:val="none"/>
          <w:lang w:val="en" w:eastAsia="zh-CN" w:bidi="ar-SA"/>
        </w:rPr>
        <w:t>万元，增长</w:t>
      </w:r>
      <w:r>
        <w:rPr>
          <w:rFonts w:hint="eastAsia" w:ascii="宋体" w:hAnsi="宋体" w:eastAsia="宋体" w:cs="Times New Roman"/>
          <w:kern w:val="2"/>
          <w:sz w:val="32"/>
          <w:szCs w:val="32"/>
          <w:highlight w:val="none"/>
          <w:lang w:val="en-US" w:eastAsia="zh-CN" w:bidi="ar-SA"/>
        </w:rPr>
        <w:t>19.23</w:t>
      </w:r>
      <w:r>
        <w:rPr>
          <w:rFonts w:hint="eastAsia" w:ascii="宋体" w:hAnsi="宋体" w:eastAsia="宋体" w:cs="Times New Roman"/>
          <w:kern w:val="2"/>
          <w:sz w:val="32"/>
          <w:szCs w:val="32"/>
          <w:highlight w:val="none"/>
          <w:lang w:val="en" w:eastAsia="zh-CN" w:bidi="ar-SA"/>
        </w:rPr>
        <w:t>％；分散采购预算</w:t>
      </w:r>
      <w:r>
        <w:rPr>
          <w:rFonts w:hint="eastAsia" w:ascii="宋体" w:hAnsi="宋体" w:eastAsia="宋体" w:cs="Times New Roman"/>
          <w:kern w:val="2"/>
          <w:sz w:val="32"/>
          <w:szCs w:val="32"/>
          <w:highlight w:val="none"/>
          <w:lang w:val="en-US" w:eastAsia="zh-CN" w:bidi="ar-SA"/>
        </w:rPr>
        <w:t>4206.50</w:t>
      </w:r>
      <w:r>
        <w:rPr>
          <w:rFonts w:hint="eastAsia" w:ascii="宋体" w:hAnsi="宋体" w:eastAsia="宋体" w:cs="Times New Roman"/>
          <w:kern w:val="2"/>
          <w:sz w:val="32"/>
          <w:szCs w:val="32"/>
          <w:highlight w:val="none"/>
          <w:lang w:val="en" w:eastAsia="zh-CN" w:bidi="ar-SA"/>
        </w:rPr>
        <w:t>万元，占政府采购预算</w:t>
      </w:r>
      <w:r>
        <w:rPr>
          <w:rFonts w:hint="eastAsia" w:ascii="宋体" w:hAnsi="宋体" w:eastAsia="宋体" w:cs="Times New Roman"/>
          <w:kern w:val="2"/>
          <w:sz w:val="32"/>
          <w:szCs w:val="32"/>
          <w:highlight w:val="none"/>
          <w:lang w:val="en-US" w:eastAsia="zh-CN" w:bidi="ar-SA"/>
        </w:rPr>
        <w:t>52.17</w:t>
      </w:r>
      <w:r>
        <w:rPr>
          <w:rFonts w:hint="eastAsia" w:ascii="宋体" w:hAnsi="宋体" w:eastAsia="宋体" w:cs="Times New Roman"/>
          <w:kern w:val="2"/>
          <w:sz w:val="32"/>
          <w:szCs w:val="32"/>
          <w:highlight w:val="none"/>
          <w:lang w:val="en" w:eastAsia="zh-CN" w:bidi="ar-SA"/>
        </w:rPr>
        <w:t>％，同比</w:t>
      </w:r>
      <w:r>
        <w:rPr>
          <w:rFonts w:hint="eastAsia" w:ascii="宋体" w:hAnsi="宋体" w:eastAsia="宋体" w:cs="Times New Roman"/>
          <w:kern w:val="2"/>
          <w:sz w:val="32"/>
          <w:szCs w:val="32"/>
          <w:highlight w:val="none"/>
          <w:lang w:val="en-US" w:eastAsia="zh-CN" w:bidi="ar-SA"/>
        </w:rPr>
        <w:t>增加1528.50</w:t>
      </w:r>
      <w:r>
        <w:rPr>
          <w:rFonts w:hint="eastAsia" w:ascii="宋体" w:hAnsi="宋体" w:eastAsia="宋体" w:cs="Times New Roman"/>
          <w:kern w:val="2"/>
          <w:sz w:val="32"/>
          <w:szCs w:val="32"/>
          <w:highlight w:val="none"/>
          <w:lang w:val="en" w:eastAsia="zh-CN" w:bidi="ar-SA"/>
        </w:rPr>
        <w:t>万元，增长</w:t>
      </w:r>
      <w:r>
        <w:rPr>
          <w:rFonts w:hint="eastAsia" w:ascii="宋体" w:hAnsi="宋体" w:eastAsia="宋体" w:cs="Times New Roman"/>
          <w:kern w:val="2"/>
          <w:sz w:val="32"/>
          <w:szCs w:val="32"/>
          <w:highlight w:val="none"/>
          <w:lang w:val="en-US" w:eastAsia="zh-CN" w:bidi="ar-SA"/>
        </w:rPr>
        <w:t>57.08</w:t>
      </w:r>
      <w:r>
        <w:rPr>
          <w:rFonts w:hint="eastAsia" w:ascii="宋体" w:hAnsi="宋体" w:eastAsia="宋体" w:cs="Times New Roman"/>
          <w:kern w:val="2"/>
          <w:sz w:val="32"/>
          <w:szCs w:val="32"/>
          <w:highlight w:val="none"/>
          <w:lang w:val="en" w:eastAsia="zh-CN" w:bidi="ar-SA"/>
        </w:rPr>
        <w:t>％。</w:t>
      </w:r>
    </w:p>
    <w:p w14:paraId="2EDD8E06">
      <w:pPr>
        <w:spacing w:line="560" w:lineRule="exact"/>
        <w:ind w:firstLine="640" w:firstLineChars="200"/>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 w:eastAsia="zh-CN" w:bidi="ar-SA"/>
        </w:rPr>
        <w:t>货物采购</w:t>
      </w:r>
      <w:r>
        <w:rPr>
          <w:rFonts w:hint="eastAsia" w:ascii="宋体" w:hAnsi="宋体" w:eastAsia="宋体" w:cs="Times New Roman"/>
          <w:kern w:val="2"/>
          <w:sz w:val="32"/>
          <w:szCs w:val="32"/>
          <w:highlight w:val="none"/>
          <w:lang w:val="en-US" w:eastAsia="zh-CN" w:bidi="ar-SA"/>
        </w:rPr>
        <w:t>4306.30</w:t>
      </w:r>
      <w:r>
        <w:rPr>
          <w:rFonts w:hint="eastAsia" w:ascii="宋体" w:hAnsi="宋体" w:eastAsia="宋体" w:cs="Times New Roman"/>
          <w:kern w:val="2"/>
          <w:sz w:val="32"/>
          <w:szCs w:val="32"/>
          <w:highlight w:val="none"/>
          <w:lang w:val="en" w:eastAsia="zh-CN" w:bidi="ar-SA"/>
        </w:rPr>
        <w:t>万元，占政府采购预算</w:t>
      </w:r>
      <w:r>
        <w:rPr>
          <w:rFonts w:hint="eastAsia" w:ascii="宋体" w:hAnsi="宋体" w:eastAsia="宋体" w:cs="Times New Roman"/>
          <w:kern w:val="2"/>
          <w:sz w:val="32"/>
          <w:szCs w:val="32"/>
          <w:highlight w:val="none"/>
          <w:lang w:val="en-US" w:eastAsia="zh-CN" w:bidi="ar-SA"/>
        </w:rPr>
        <w:t>53.41</w:t>
      </w:r>
      <w:r>
        <w:rPr>
          <w:rFonts w:hint="eastAsia" w:ascii="宋体" w:hAnsi="宋体" w:eastAsia="宋体" w:cs="Times New Roman"/>
          <w:kern w:val="2"/>
          <w:sz w:val="32"/>
          <w:szCs w:val="32"/>
          <w:highlight w:val="none"/>
          <w:lang w:val="en" w:eastAsia="zh-CN" w:bidi="ar-SA"/>
        </w:rPr>
        <w:t>％；工程采购0万元，占政府采购预算0％；服务采购</w:t>
      </w:r>
      <w:r>
        <w:rPr>
          <w:rFonts w:hint="eastAsia" w:ascii="宋体" w:hAnsi="宋体" w:eastAsia="宋体" w:cs="Times New Roman"/>
          <w:kern w:val="2"/>
          <w:sz w:val="32"/>
          <w:szCs w:val="32"/>
          <w:highlight w:val="none"/>
          <w:lang w:val="en-US" w:eastAsia="zh-CN" w:bidi="ar-SA"/>
        </w:rPr>
        <w:t>3756.18</w:t>
      </w:r>
      <w:r>
        <w:rPr>
          <w:rFonts w:hint="eastAsia" w:ascii="宋体" w:hAnsi="宋体" w:eastAsia="宋体" w:cs="Times New Roman"/>
          <w:kern w:val="2"/>
          <w:sz w:val="32"/>
          <w:szCs w:val="32"/>
          <w:highlight w:val="none"/>
          <w:lang w:val="en" w:eastAsia="zh-CN" w:bidi="ar-SA"/>
        </w:rPr>
        <w:t>万元，占政府采购预算</w:t>
      </w:r>
      <w:r>
        <w:rPr>
          <w:rFonts w:hint="eastAsia" w:ascii="宋体" w:hAnsi="宋体" w:eastAsia="宋体" w:cs="Times New Roman"/>
          <w:kern w:val="2"/>
          <w:sz w:val="32"/>
          <w:szCs w:val="32"/>
          <w:highlight w:val="none"/>
          <w:lang w:val="en-US" w:eastAsia="zh-CN" w:bidi="ar-SA"/>
        </w:rPr>
        <w:t>46.59</w:t>
      </w:r>
      <w:r>
        <w:rPr>
          <w:rFonts w:hint="eastAsia" w:ascii="宋体" w:hAnsi="宋体" w:eastAsia="宋体" w:cs="Times New Roman"/>
          <w:kern w:val="2"/>
          <w:sz w:val="32"/>
          <w:szCs w:val="32"/>
          <w:highlight w:val="none"/>
          <w:lang w:val="en" w:eastAsia="zh-CN" w:bidi="ar-SA"/>
        </w:rPr>
        <w:t>％。采购限额标准以上，200万元以下的货物和服务采购项目、400.0万元以下的工程采购项目，适宜由中小企业提供的采购预算</w:t>
      </w:r>
      <w:r>
        <w:rPr>
          <w:rFonts w:hint="eastAsia" w:ascii="宋体" w:hAnsi="宋体" w:eastAsia="宋体" w:cs="Times New Roman"/>
          <w:kern w:val="2"/>
          <w:sz w:val="32"/>
          <w:szCs w:val="32"/>
          <w:highlight w:val="none"/>
          <w:lang w:val="en-US" w:eastAsia="zh-CN" w:bidi="ar-SA"/>
        </w:rPr>
        <w:t>2292.30</w:t>
      </w:r>
      <w:r>
        <w:rPr>
          <w:rFonts w:hint="eastAsia" w:ascii="宋体" w:hAnsi="宋体" w:eastAsia="宋体" w:cs="Times New Roman"/>
          <w:kern w:val="2"/>
          <w:sz w:val="32"/>
          <w:szCs w:val="32"/>
          <w:highlight w:val="none"/>
          <w:lang w:val="en" w:eastAsia="zh-CN" w:bidi="ar-SA"/>
        </w:rPr>
        <w:t>万元，面向中小企业预留金额</w:t>
      </w:r>
      <w:r>
        <w:rPr>
          <w:rFonts w:hint="eastAsia" w:ascii="宋体" w:hAnsi="宋体" w:eastAsia="宋体" w:cs="Times New Roman"/>
          <w:kern w:val="2"/>
          <w:sz w:val="32"/>
          <w:szCs w:val="32"/>
          <w:highlight w:val="none"/>
          <w:lang w:val="en-US" w:eastAsia="zh-CN" w:bidi="ar-SA"/>
        </w:rPr>
        <w:t>159.60</w:t>
      </w:r>
      <w:r>
        <w:rPr>
          <w:rFonts w:hint="eastAsia" w:ascii="宋体" w:hAnsi="宋体" w:eastAsia="宋体" w:cs="Times New Roman"/>
          <w:kern w:val="2"/>
          <w:sz w:val="32"/>
          <w:szCs w:val="32"/>
          <w:highlight w:val="none"/>
          <w:lang w:val="en" w:eastAsia="zh-CN" w:bidi="ar-SA"/>
        </w:rPr>
        <w:t>万元；超过200</w:t>
      </w:r>
      <w:r>
        <w:rPr>
          <w:rFonts w:hint="eastAsia" w:ascii="宋体" w:hAnsi="宋体" w:eastAsia="宋体" w:cs="Times New Roman"/>
          <w:kern w:val="2"/>
          <w:sz w:val="32"/>
          <w:szCs w:val="32"/>
          <w:highlight w:val="none"/>
          <w:lang w:val="en-US" w:eastAsia="zh-CN" w:bidi="ar-SA"/>
        </w:rPr>
        <w:t>.00</w:t>
      </w:r>
      <w:r>
        <w:rPr>
          <w:rFonts w:hint="eastAsia" w:ascii="宋体" w:hAnsi="宋体" w:eastAsia="宋体" w:cs="Times New Roman"/>
          <w:kern w:val="2"/>
          <w:sz w:val="32"/>
          <w:szCs w:val="32"/>
          <w:highlight w:val="none"/>
          <w:lang w:val="en" w:eastAsia="zh-CN" w:bidi="ar-SA"/>
        </w:rPr>
        <w:t>万元的货物和服务采购项目、超过400万元的工程采购项目中适宜由中小企业提供的采购预算</w:t>
      </w:r>
      <w:r>
        <w:rPr>
          <w:rFonts w:hint="eastAsia" w:ascii="宋体" w:hAnsi="宋体" w:eastAsia="宋体" w:cs="Times New Roman"/>
          <w:kern w:val="2"/>
          <w:sz w:val="32"/>
          <w:szCs w:val="32"/>
          <w:highlight w:val="none"/>
          <w:lang w:val="en-US" w:eastAsia="zh-CN" w:bidi="ar-SA"/>
        </w:rPr>
        <w:t>5770.18</w:t>
      </w:r>
      <w:r>
        <w:rPr>
          <w:rFonts w:hint="eastAsia" w:ascii="宋体" w:hAnsi="宋体" w:eastAsia="宋体" w:cs="Times New Roman"/>
          <w:kern w:val="2"/>
          <w:sz w:val="32"/>
          <w:szCs w:val="32"/>
          <w:highlight w:val="none"/>
          <w:lang w:val="en" w:eastAsia="zh-CN" w:bidi="ar-SA"/>
        </w:rPr>
        <w:t>万元，预留</w:t>
      </w:r>
      <w:r>
        <w:rPr>
          <w:rFonts w:hint="eastAsia" w:ascii="宋体" w:hAnsi="宋体" w:eastAsia="宋体" w:cs="Times New Roman"/>
          <w:kern w:val="2"/>
          <w:sz w:val="32"/>
          <w:szCs w:val="32"/>
          <w:highlight w:val="none"/>
          <w:lang w:val="en-US" w:eastAsia="zh-CN" w:bidi="ar-SA"/>
        </w:rPr>
        <w:t>2764.75</w:t>
      </w:r>
      <w:r>
        <w:rPr>
          <w:rFonts w:hint="eastAsia" w:ascii="宋体" w:hAnsi="宋体" w:eastAsia="宋体" w:cs="Times New Roman"/>
          <w:kern w:val="2"/>
          <w:sz w:val="32"/>
          <w:szCs w:val="32"/>
          <w:highlight w:val="none"/>
          <w:lang w:val="en" w:eastAsia="zh-CN" w:bidi="ar-SA"/>
        </w:rPr>
        <w:t>万元专门面向中小企业采购，其中：预留</w:t>
      </w:r>
      <w:r>
        <w:rPr>
          <w:rFonts w:hint="eastAsia" w:ascii="宋体" w:hAnsi="宋体" w:eastAsia="宋体" w:cs="Times New Roman"/>
          <w:kern w:val="2"/>
          <w:sz w:val="32"/>
          <w:szCs w:val="32"/>
          <w:highlight w:val="none"/>
          <w:lang w:val="en-US" w:eastAsia="zh-CN" w:bidi="ar-SA"/>
        </w:rPr>
        <w:t>85.60</w:t>
      </w:r>
      <w:r>
        <w:rPr>
          <w:rFonts w:hint="eastAsia" w:ascii="宋体" w:hAnsi="宋体" w:eastAsia="宋体" w:cs="Times New Roman"/>
          <w:kern w:val="2"/>
          <w:sz w:val="32"/>
          <w:szCs w:val="32"/>
          <w:highlight w:val="none"/>
          <w:lang w:val="en" w:eastAsia="zh-CN" w:bidi="ar-SA"/>
        </w:rPr>
        <w:t>万元面向小微企业采购。</w:t>
      </w:r>
    </w:p>
    <w:p w14:paraId="75775D3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九、国有资产占用情况说明</w:t>
      </w:r>
    </w:p>
    <w:p w14:paraId="35B5D04B">
      <w:pPr>
        <w:spacing w:line="560" w:lineRule="exact"/>
        <w:ind w:firstLine="640" w:firstLineChars="200"/>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南宁师范大学共有五个校区，分别为五合、武鸣、明秀、长岗、建政校区，占地面积共3383.1亩，校舍建筑面积33.68万平方米，学校图书馆藏书231.60万册，另有电子图书283.08万册。我校车辆编制数为32辆，实有车辆17辆，车辆类型为8辆轿车，7辆大客车，2辆经济型车，除1辆为学校机要用车外，其余均是为开展学校日常运行服务的一般业务用车。</w:t>
      </w:r>
    </w:p>
    <w:p w14:paraId="07CE2112">
      <w:pPr>
        <w:spacing w:line="560" w:lineRule="exact"/>
        <w:ind w:firstLine="640" w:firstLineChars="200"/>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南宁师范大学附属实验学校校舍建筑面积合计9575平方米，其中，教学及辅助用房建筑面积2874平方米，学校无车辆构成情况。</w:t>
      </w:r>
    </w:p>
    <w:p w14:paraId="6584C56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十、预算绩效目标情况说明</w:t>
      </w:r>
    </w:p>
    <w:p w14:paraId="18D68A5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（一）我部门2025年我校所有项目支出全面实施绩效目标管理，涉及自治区本级项目71个，预算资金81999.17万元；对下转移支付项目0个，预算资金0万元。绩效目标情况详见报表。</w:t>
      </w:r>
    </w:p>
    <w:p w14:paraId="4EF562A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（二）重点项目预算绩效目标说明。</w:t>
      </w:r>
    </w:p>
    <w:p w14:paraId="7FAC814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US" w:eastAsia="zh-CN" w:bidi="ar-SA"/>
        </w:rPr>
        <w:t>1.</w:t>
      </w:r>
      <w:r>
        <w:rPr>
          <w:rFonts w:hint="eastAsia" w:ascii="宋体" w:hAnsi="宋体" w:eastAsia="宋体" w:cs="Times New Roman"/>
          <w:kern w:val="2"/>
          <w:sz w:val="32"/>
          <w:szCs w:val="32"/>
          <w:highlight w:val="none"/>
          <w:lang w:val="en" w:eastAsia="zh-CN" w:bidi="ar-SA"/>
        </w:rPr>
        <w:t>高等教育本专科生助学金自治区资金395.78万元</w:t>
      </w:r>
    </w:p>
    <w:p w14:paraId="422941F2">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①项目立项依据</w:t>
      </w:r>
    </w:p>
    <w:p w14:paraId="19A8811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1】立项依据：根据《财政部 教育部 人力资源社会保障部 退役军人部中央军委国防动员部关于印发学生资助资金管理办法》（财教〔2021〕310号）、《广西壮族自治区财政厅等5部门关于印发广西壮族自治区学生资助管理办法的通知》（桂财规〔2022〕9号）文件精神，对符合资助条件的全日制研究生给予学业奖学金。该研究生学业奖学金由自治区财政承担，该项目由自治区本级财政每年安排专项资金予以保障，全区各高校学生资助管理人员提供人员保障；激励我区普通高等学校学生勤奋学习、努力进取的需要，帮助其顺利完成学业，促进教育公平，提升学历层次，增强就业竞争力，促进教育公平和劳动者素质提高，推进科教兴桂战略和人才强桂战略实施。</w:t>
      </w:r>
    </w:p>
    <w:p w14:paraId="20300F96">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 xml:space="preserve">2】可行性和必要性：自治区人民政府每年安排奖励资助资金予以保障，结合我区实际，我校严格执行《广西壮族自治区学生资助管理办法》，激励我校学生勤奋学习、潜心科研、勇于创新、积极进取，在全面实行研究生教育收费制度的情况下更好地支持研究生顺利完成学业。国家助学金体现党和政府对普通本科高校中家庭经济困难学生的关怀，帮助他们顺利完成学业，并成功就业。 </w:t>
      </w:r>
    </w:p>
    <w:p w14:paraId="4037591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②项目内容</w:t>
      </w:r>
    </w:p>
    <w:p w14:paraId="3E6C6DE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该项目为经常性项目，主要任务内容和实施方案为向本科高校中家庭经济困难学生提供高等教育本专科国家助学金，体现党和政府对普通本科高校中家庭经济困难学生的关怀，帮助他们顺利完成学业，并顺利就业。2025年资金需求为395.78万元，主要任务内容和实施方案：为1070名符合条件的学生提供高等教育本专科国家助学金，帮助他们顺利完成学业。实施计划：按学期分两次发放，年末完成支付进度，预计12月份预算执行率达到100%。</w:t>
      </w:r>
    </w:p>
    <w:p w14:paraId="5F2704E1">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③事前绩效评估和项目年度绩效目标情况</w:t>
      </w:r>
    </w:p>
    <w:p w14:paraId="4EDE41A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1】项目年度绩效目标情况：通过该项目支持本专科生奖学金发放工作顺利开展，经费安排发放符合条件的全区普通高等学校全日制本专科在校学生本专科国家奖助学金。通过项目帮助家庭经济困难的全日制在校本专科生减轻家庭经济负担，保证本专科生校园学习、生活质量，帮助他们顺利完成学业、成功就业，同时激励本专科生生发奋学习、潜心科研、勇于创新、积极进取。该项目为学校完善本专科生奖助政策体系，提高本专科生待遇水平提供保障，助力学校充分发挥教育教学职能，提高办学能力与学校吸引力。</w:t>
      </w:r>
    </w:p>
    <w:p w14:paraId="7AFC0DF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2】事前绩效评估：无。</w:t>
      </w:r>
    </w:p>
    <w:p w14:paraId="59AE3C0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④资金来源</w:t>
      </w:r>
    </w:p>
    <w:p w14:paraId="6529B1C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一般公共预算395.78万元。</w:t>
      </w:r>
    </w:p>
    <w:p w14:paraId="39D5072C">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US" w:eastAsia="zh-CN" w:bidi="ar-SA"/>
        </w:rPr>
        <w:t>2.</w:t>
      </w:r>
      <w:r>
        <w:rPr>
          <w:rFonts w:hint="eastAsia" w:ascii="宋体" w:hAnsi="宋体" w:eastAsia="宋体" w:cs="Times New Roman"/>
          <w:kern w:val="2"/>
          <w:sz w:val="32"/>
          <w:szCs w:val="32"/>
          <w:highlight w:val="none"/>
          <w:lang w:val="en" w:eastAsia="zh-CN" w:bidi="ar-SA"/>
        </w:rPr>
        <w:t>南宁教育园区入园高校补助资金1,402.00万元</w:t>
      </w:r>
    </w:p>
    <w:p w14:paraId="0543313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①项目立项依据</w:t>
      </w:r>
    </w:p>
    <w:p w14:paraId="2AB483C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1】立项依据：根据自治区关于南宁教育园区的部署要求，按照基础设施建设项目规划，上级部门适当给予专项经费支持南宁教育园区入园学校，鼓励和引导学校加快新校区建设，进一步扩展我区高等教育资源。</w:t>
      </w:r>
    </w:p>
    <w:p w14:paraId="32BDF8D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2】可行性和必要性：南宁教育园区、桂林高校聚集区建设全面纳入自治区政府推进项目，教育园区的建设模式是实现高等教育跨越式发展的有效途径，教育园区应成为城市战略发展的发动机，人才孕育的集中平台，促进区域发展的重要力量。</w:t>
      </w:r>
    </w:p>
    <w:p w14:paraId="077EC3D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②项目内容</w:t>
      </w:r>
    </w:p>
    <w:p w14:paraId="47FA8FC7">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该项目为经常性项目，实施年限为4年，为支持我校武鸣新校区建设，项目依工程施工进度投入经费支持建设，加快新校区建设，进一步扩展我区高等教育资源。2021年投入资金1025万元，已完成支出1025万元，2022年投入资金1039万元，已完成支出1039万元，2023年投入资金1475万元，已完成支出1475万元，2024年投入1409万元，已完成支付1409万元，主要任务内容和实施方案为根据《广西壮族自治区发展和改革委员会关于广西师范学院武鸣校区项目（一期）可行性研究报告的批复》（桂发改社会〔2017〕836号）和《广西壮族自治区发展和改革委员会关于广西师范学院武鸣校区项目（二期、三期）可行性研究报告的批复》（桂发改社会〔2017〕1354号），支持武鸣新校区实验室建设、教学科研仪器设备购置、校园基础设施建设；2025年资金需求为1402万元，主要任务内容和实施方案：依工程施工进度投入经费支持我校武鸣新校区建设，加快</w:t>
      </w:r>
      <w:r>
        <w:rPr>
          <w:rFonts w:hint="eastAsia" w:hAnsi="宋体" w:cs="Times New Roman"/>
          <w:kern w:val="2"/>
          <w:sz w:val="32"/>
          <w:szCs w:val="32"/>
          <w:highlight w:val="none"/>
          <w:lang w:val="en-US" w:eastAsia="zh-CN" w:bidi="ar-SA"/>
        </w:rPr>
        <w:t>完善</w:t>
      </w:r>
      <w:r>
        <w:rPr>
          <w:rFonts w:hint="eastAsia" w:ascii="宋体" w:hAnsi="宋体" w:eastAsia="宋体" w:cs="Times New Roman"/>
          <w:kern w:val="2"/>
          <w:sz w:val="32"/>
          <w:szCs w:val="32"/>
          <w:highlight w:val="none"/>
          <w:lang w:val="en" w:eastAsia="zh-CN" w:bidi="ar-SA"/>
        </w:rPr>
        <w:t>新校区</w:t>
      </w:r>
      <w:r>
        <w:rPr>
          <w:rFonts w:hint="eastAsia" w:hAnsi="宋体" w:cs="Times New Roman"/>
          <w:kern w:val="2"/>
          <w:sz w:val="32"/>
          <w:szCs w:val="32"/>
          <w:highlight w:val="none"/>
          <w:lang w:val="en-US" w:eastAsia="zh-CN" w:bidi="ar-SA"/>
        </w:rPr>
        <w:t>各项教学、科研、行政办公、后勤保障等功能</w:t>
      </w:r>
      <w:r>
        <w:rPr>
          <w:rFonts w:hint="eastAsia" w:ascii="宋体" w:hAnsi="宋体" w:eastAsia="宋体" w:cs="Times New Roman"/>
          <w:kern w:val="2"/>
          <w:sz w:val="32"/>
          <w:szCs w:val="32"/>
          <w:highlight w:val="none"/>
          <w:lang w:val="en" w:eastAsia="zh-CN" w:bidi="ar-SA"/>
        </w:rPr>
        <w:t>，进一步扩展我区高等教育资源。</w:t>
      </w:r>
    </w:p>
    <w:p w14:paraId="4400455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支持范围：南宁师范大学武鸣校区建设</w:t>
      </w:r>
    </w:p>
    <w:p w14:paraId="3C7B1E3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③事前绩效评估和项目年度绩效目标情况</w:t>
      </w:r>
    </w:p>
    <w:p w14:paraId="5E8A46B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1】项目年度绩效目标情况：2025年通过该项目支持我校南宁市教育园区建设项目，项目资金安排支付学校南宁市教育园校区教学楼、实验楼、图书馆、学生宿舍楼、食堂等基本建设</w:t>
      </w:r>
      <w:r>
        <w:rPr>
          <w:rFonts w:hint="eastAsia" w:hAnsi="宋体" w:cs="Times New Roman"/>
          <w:kern w:val="2"/>
          <w:sz w:val="32"/>
          <w:szCs w:val="32"/>
          <w:highlight w:val="none"/>
          <w:lang w:val="en-US" w:eastAsia="zh-CN" w:bidi="ar-SA"/>
        </w:rPr>
        <w:t>工程款</w:t>
      </w:r>
      <w:r>
        <w:rPr>
          <w:rFonts w:hint="eastAsia" w:ascii="宋体" w:hAnsi="宋体" w:eastAsia="宋体" w:cs="Times New Roman"/>
          <w:kern w:val="2"/>
          <w:sz w:val="32"/>
          <w:szCs w:val="32"/>
          <w:highlight w:val="none"/>
          <w:lang w:val="en" w:eastAsia="zh-CN" w:bidi="ar-SA"/>
        </w:rPr>
        <w:t>，以及相关</w:t>
      </w:r>
      <w:r>
        <w:rPr>
          <w:rFonts w:hint="eastAsia" w:hAnsi="宋体" w:cs="Times New Roman"/>
          <w:kern w:val="2"/>
          <w:sz w:val="32"/>
          <w:szCs w:val="32"/>
          <w:highlight w:val="none"/>
          <w:lang w:val="en-US" w:eastAsia="zh-CN" w:bidi="ar-SA"/>
        </w:rPr>
        <w:t>设备、仪器采购款</w:t>
      </w:r>
      <w:r>
        <w:rPr>
          <w:rFonts w:hint="eastAsia" w:ascii="宋体" w:hAnsi="宋体" w:eastAsia="宋体" w:cs="Times New Roman"/>
          <w:kern w:val="2"/>
          <w:sz w:val="32"/>
          <w:szCs w:val="32"/>
          <w:highlight w:val="none"/>
          <w:lang w:val="en" w:eastAsia="zh-CN" w:bidi="ar-SA"/>
        </w:rPr>
        <w:t>。通过该经费投入，</w:t>
      </w:r>
      <w:r>
        <w:rPr>
          <w:rFonts w:hint="eastAsia" w:hAnsi="宋体" w:cs="Times New Roman"/>
          <w:kern w:val="2"/>
          <w:sz w:val="32"/>
          <w:szCs w:val="32"/>
          <w:highlight w:val="none"/>
          <w:lang w:val="en-US" w:eastAsia="zh-CN" w:bidi="ar-SA"/>
        </w:rPr>
        <w:t>保障</w:t>
      </w:r>
      <w:r>
        <w:rPr>
          <w:rFonts w:hint="eastAsia" w:ascii="宋体" w:hAnsi="宋体" w:eastAsia="宋体" w:cs="Times New Roman"/>
          <w:kern w:val="2"/>
          <w:sz w:val="32"/>
          <w:szCs w:val="32"/>
          <w:highlight w:val="none"/>
          <w:lang w:val="en" w:eastAsia="zh-CN" w:bidi="ar-SA"/>
        </w:rPr>
        <w:t>学校建设与发展，进一步改善公办高校办学条件，扩大办学规模，为可持续高质量办学奠定坚实的基础。</w:t>
      </w:r>
    </w:p>
    <w:p w14:paraId="0D3EAE2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2】事前绩效评估：无。</w:t>
      </w:r>
    </w:p>
    <w:p w14:paraId="03F711E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④资金来源</w:t>
      </w:r>
    </w:p>
    <w:p w14:paraId="6EBAC40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一般公共预算拨款1402万元。</w:t>
      </w:r>
    </w:p>
    <w:p w14:paraId="2AD097A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4D6EEC0">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第三部分：名词解释</w:t>
      </w:r>
    </w:p>
    <w:p w14:paraId="71369D0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1.财政拨款收入：自治区财政当年拨付的资金；</w:t>
      </w:r>
    </w:p>
    <w:p w14:paraId="225D031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2.部门基本支出预算：是指部门为保障其机构正常运转、完成日常工作任务而编制的年度基本支出计划，按其性质分为人员经费和日常公用经费；</w:t>
      </w:r>
    </w:p>
    <w:p w14:paraId="2BEC5EA2">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3.部门项目支出预算：是指部门为完成特定的行政任务或事业发展专项计划，在基本支出预算之外编制的年度支出计划；</w:t>
      </w:r>
    </w:p>
    <w:p w14:paraId="131A33C2">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4.教育支出：反映政府教育支出情况，包括教育管理事务支出、普通教育支出、成人教育等方面支出；</w:t>
      </w:r>
    </w:p>
    <w:p w14:paraId="53A4422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5.文化旅游体育与传媒支出：反映政府在文化、文物、体育、广播影视、新闻出版等方面的支出；</w:t>
      </w:r>
    </w:p>
    <w:p w14:paraId="26EC458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6.社会保障和就业支出：反映政府在社会保障和就业方面的支出，我校主要是由单位缴纳的基本养老保险费支出和职业年金等支出；</w:t>
      </w:r>
    </w:p>
    <w:p w14:paraId="65D20880">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7.医疗卫生与计划生育支出：反映政府医疗卫生与计划生育管理方面的支出，我校主要为基本医疗保险缴费经费；</w:t>
      </w:r>
    </w:p>
    <w:p w14:paraId="5DF742A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8.住房保障支出：是指单位按人力资源和社会保障部、财政部规定的基本工资和津贴补贴以及规定比例为职工缴纳的住房公积金；</w:t>
      </w:r>
    </w:p>
    <w:p w14:paraId="73A1F0D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9.商品服务支出：反映单位为满足日常工作需要购买商品和劳务的支出。具体包括办公费、水费、电费、邮电费、咨询费、印刷费、差旅费、工会经费、会议费、培训费、物业管理费、维修（护）费、租赁费等；</w:t>
      </w:r>
    </w:p>
    <w:p w14:paraId="2ADFF5B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10.对个人和家庭的补助支出：反映政府对个人和家庭的无偿性补助支出。具体包括离休费、退休费、退职（役）费、抚恤和生活补助、医疗费、住房公积金、助学金、其他等；</w:t>
      </w:r>
    </w:p>
    <w:p w14:paraId="6BB122E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11.“三公”经费支出：纳入财政预算管理的“三公”经费，是部门用财政拨款安排的因公出国（境）费、公务用车购置及运行费和公务接待费。其中：因公出国（境）费反映单位公务出国（境）的国际旅费、国外城市交通费、住宿费、伙食费、培训费、公杂费等支出；公务用车购置及运行费反映单位公务用车车辆购置支出（含车辆购置税）及租用费、燃料费、维修费、过路过桥费、保险费、安全奖励费等支出；公务接待费反映单位按规定开支的各类公务接待（含外宾接待）支出；</w:t>
      </w:r>
    </w:p>
    <w:p w14:paraId="77ED55E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12.机关（事业）单位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86F178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p>
    <w:p w14:paraId="7CA187E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第四部分：</w:t>
      </w:r>
      <w:r>
        <w:rPr>
          <w:rFonts w:hint="eastAsia" w:ascii="黑体" w:hAnsi="黑体" w:eastAsia="黑体" w:cs="黑体"/>
          <w:sz w:val="32"/>
          <w:szCs w:val="32"/>
          <w:lang w:val="en-US" w:eastAsia="zh-CN"/>
        </w:rPr>
        <w:t>南宁师范大学</w:t>
      </w:r>
      <w:r>
        <w:rPr>
          <w:rFonts w:hint="eastAsia" w:ascii="黑体" w:hAnsi="黑体" w:eastAsia="黑体" w:cs="黑体"/>
          <w:sz w:val="32"/>
          <w:szCs w:val="32"/>
        </w:rPr>
        <w:t>2025年部门预算报表</w:t>
      </w:r>
    </w:p>
    <w:p w14:paraId="784243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B2219F"/>
    <w:multiLevelType w:val="singleLevel"/>
    <w:tmpl w:val="F4B2219F"/>
    <w:lvl w:ilvl="0" w:tentative="0">
      <w:start w:val="1"/>
      <w:numFmt w:val="chineseCounting"/>
      <w:suff w:val="nothing"/>
      <w:lvlText w:val="%1、"/>
      <w:lvlJc w:val="left"/>
      <w:pPr>
        <w:ind w:left="1600" w:leftChars="0" w:firstLine="0" w:firstLineChars="0"/>
      </w:pPr>
      <w:rPr>
        <w:rFonts w:hint="eastAsia"/>
      </w:rPr>
    </w:lvl>
  </w:abstractNum>
  <w:abstractNum w:abstractNumId="1">
    <w:nsid w:val="564A5040"/>
    <w:multiLevelType w:val="singleLevel"/>
    <w:tmpl w:val="564A5040"/>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022CAA"/>
    <w:rsid w:val="00DC5E6F"/>
    <w:rsid w:val="044E20D8"/>
    <w:rsid w:val="0B9C3F94"/>
    <w:rsid w:val="0D13046C"/>
    <w:rsid w:val="14121BC4"/>
    <w:rsid w:val="14C238EF"/>
    <w:rsid w:val="17373A74"/>
    <w:rsid w:val="1A371151"/>
    <w:rsid w:val="1A97792D"/>
    <w:rsid w:val="26BB4098"/>
    <w:rsid w:val="2BD46A31"/>
    <w:rsid w:val="2C444D5A"/>
    <w:rsid w:val="32C17C4E"/>
    <w:rsid w:val="3AAA60BB"/>
    <w:rsid w:val="3B79633E"/>
    <w:rsid w:val="41BD2C1A"/>
    <w:rsid w:val="46AC0EA4"/>
    <w:rsid w:val="474A49D8"/>
    <w:rsid w:val="4FE826DA"/>
    <w:rsid w:val="50022CAA"/>
    <w:rsid w:val="54BA212F"/>
    <w:rsid w:val="5AF44512"/>
    <w:rsid w:val="5B530396"/>
    <w:rsid w:val="5D59740F"/>
    <w:rsid w:val="63F02FA8"/>
    <w:rsid w:val="6D2E0B45"/>
    <w:rsid w:val="6D844C77"/>
    <w:rsid w:val="7317522A"/>
    <w:rsid w:val="73A0182E"/>
    <w:rsid w:val="73BB2DEB"/>
    <w:rsid w:val="793D5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99"/>
    <w:pPr>
      <w:tabs>
        <w:tab w:val="center" w:pos="4140"/>
        <w:tab w:val="right" w:pos="8300"/>
      </w:tabs>
      <w:snapToGrid w:val="0"/>
      <w:jc w:val="left"/>
    </w:pPr>
    <w:rPr>
      <w:sz w:val="18"/>
      <w:szCs w:val="18"/>
    </w:rPr>
  </w:style>
  <w:style w:type="paragraph" w:styleId="6">
    <w:name w:val="List Paragraph"/>
    <w:basedOn w:val="1"/>
    <w:qFormat/>
    <w:uiPriority w:val="1"/>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7982</Words>
  <Characters>9048</Characters>
  <Lines>0</Lines>
  <Paragraphs>0</Paragraphs>
  <TotalTime>8</TotalTime>
  <ScaleCrop>false</ScaleCrop>
  <LinksUpToDate>false</LinksUpToDate>
  <CharactersWithSpaces>9056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2025-02-03T04:47:00Z</dcterms:created>
  <dc:creator>徐如飞</dc:creator>
  <cp:lastModifiedBy>徐如飞</cp:lastModifiedBy>
  <dcterms:modified xsi:type="dcterms:W3CDTF">2025-02-11T14:26:40Z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31ACA5F6094E45619A455C5F6A0D62EA_11</vt:lpwstr>
  </property>
  <property fmtid="{D5CDD505-2E9C-101B-9397-08002B2CF9AE}" pid="4" name="KSOTemplateDocerSaveRecord">
    <vt:lpwstr>eyJoZGlkIjoiMGI3MjRjNjU3YzRjZjM1NjQ0NzFlMWFmN2JkYWRhMzIiLCJ1c2VySWQiOiIxNTUzNDc4NzczIn0=</vt:lpwstr>
  </property>
</Properties>
</file>